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1D19" w14:textId="77777777" w:rsidR="003E013B" w:rsidRDefault="0003760A" w:rsidP="00150C44">
      <w:pPr>
        <w:rPr>
          <w:noProof/>
        </w:rPr>
      </w:pPr>
      <w:r w:rsidRPr="0003760A">
        <w:rPr>
          <w:noProof/>
        </w:rPr>
        <w:t xml:space="preserve"> </w:t>
      </w:r>
    </w:p>
    <w:p w14:paraId="12C6157C" w14:textId="4F8C834D" w:rsidR="003E013B" w:rsidRDefault="008D3080" w:rsidP="0017717C">
      <w:pPr>
        <w:pStyle w:val="Projekttitel"/>
      </w:pP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083FF5" wp14:editId="1A50D0CF">
                <wp:simplePos x="0" y="0"/>
                <wp:positionH relativeFrom="column">
                  <wp:posOffset>-1905</wp:posOffset>
                </wp:positionH>
                <wp:positionV relativeFrom="paragraph">
                  <wp:posOffset>2380879</wp:posOffset>
                </wp:positionV>
                <wp:extent cx="5969635" cy="979170"/>
                <wp:effectExtent l="0" t="0" r="0" b="0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635" cy="979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F35F4E" w14:textId="77777777" w:rsidR="00044A20" w:rsidRDefault="00044A20" w:rsidP="008D3080">
                            <w:pPr>
                              <w:pStyle w:val="OverskriftGrn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83FF5" id="_x0000_t202" coordsize="21600,21600" o:spt="202" path="m,l,21600r21600,l21600,xe">
                <v:stroke joinstyle="miter"/>
                <v:path gradientshapeok="t" o:connecttype="rect"/>
              </v:shapetype>
              <v:shape id="Tekstfelt 7" o:spid="_x0000_s1026" type="#_x0000_t202" style="position:absolute;margin-left:-.15pt;margin-top:187.45pt;width:470.05pt;height:77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" fillcolor="white [3201]" stroked="f" strokeweight=".5pt">
                <v:textbox>
                  <w:txbxContent>
                    <w:p w14:paraId="41F35F4E" w14:textId="77777777" w:rsidR="00044A20" w:rsidRDefault="00044A20" w:rsidP="008D3080">
                      <w:pPr>
                        <w:pStyle w:val="OverskriftGrn"/>
                      </w:pPr>
                    </w:p>
                  </w:txbxContent>
                </v:textbox>
              </v:shape>
            </w:pict>
          </mc:Fallback>
        </mc:AlternateContent>
      </w:r>
      <w:r w:rsidR="00593AE0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B38C5A" wp14:editId="5C960945">
                <wp:simplePos x="0" y="0"/>
                <wp:positionH relativeFrom="column">
                  <wp:posOffset>-3200</wp:posOffset>
                </wp:positionH>
                <wp:positionV relativeFrom="paragraph">
                  <wp:posOffset>795376</wp:posOffset>
                </wp:positionV>
                <wp:extent cx="6035040" cy="1484985"/>
                <wp:effectExtent l="0" t="0" r="3810" b="1270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0" cy="1484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8A61D9" w14:textId="45F562A9" w:rsidR="00044A20" w:rsidRPr="00593AE0" w:rsidRDefault="00593AE0" w:rsidP="00C21130">
                            <w:pPr>
                              <w:pStyle w:val="Projekttitel-Bl"/>
                              <w:rPr>
                                <w:sz w:val="56"/>
                                <w:szCs w:val="20"/>
                              </w:rPr>
                            </w:pPr>
                            <w:r w:rsidRPr="00593AE0">
                              <w:rPr>
                                <w:sz w:val="56"/>
                                <w:szCs w:val="20"/>
                              </w:rPr>
                              <w:t>Analyse af energieffektivitet og besparelsespotentialer på tværs af kommuner</w:t>
                            </w:r>
                          </w:p>
                          <w:p w14:paraId="36D8B333" w14:textId="77777777" w:rsidR="00044A20" w:rsidRPr="00593AE0" w:rsidRDefault="00044A20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325F7EA0" w14:textId="77777777" w:rsidR="00044A20" w:rsidRPr="00593AE0" w:rsidRDefault="00044A20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38C5A" id="Tekstfelt 6" o:spid="_x0000_s1027" type="#_x0000_t202" style="position:absolute;margin-left:-.25pt;margin-top:62.65pt;width:475.2pt;height:116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" fillcolor="white [3201]" stroked="f" strokeweight=".5pt">
                <v:textbox>
                  <w:txbxContent>
                    <w:p w14:paraId="6B8A61D9" w14:textId="45F562A9" w:rsidR="00044A20" w:rsidRPr="00593AE0" w:rsidRDefault="00593AE0" w:rsidP="00C21130">
                      <w:pPr>
                        <w:pStyle w:val="Projekttitel-Bl"/>
                        <w:rPr>
                          <w:sz w:val="56"/>
                          <w:szCs w:val="20"/>
                        </w:rPr>
                      </w:pPr>
                      <w:r w:rsidRPr="00593AE0">
                        <w:rPr>
                          <w:sz w:val="56"/>
                          <w:szCs w:val="20"/>
                        </w:rPr>
                        <w:t>Analyse af energieffektivitet og besparelsespotentialer på tværs af kommuner</w:t>
                      </w:r>
                    </w:p>
                    <w:p w14:paraId="36D8B333" w14:textId="77777777" w:rsidR="00044A20" w:rsidRPr="00593AE0" w:rsidRDefault="00044A20">
                      <w:pPr>
                        <w:rPr>
                          <w:sz w:val="18"/>
                          <w:szCs w:val="20"/>
                        </w:rPr>
                      </w:pPr>
                    </w:p>
                    <w:p w14:paraId="325F7EA0" w14:textId="77777777" w:rsidR="00044A20" w:rsidRPr="00593AE0" w:rsidRDefault="00044A20">
                      <w:pPr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013B">
        <w:br w:type="page"/>
      </w:r>
    </w:p>
    <w:p w14:paraId="543301E0" w14:textId="1069A7FB" w:rsidR="008D3080" w:rsidRDefault="008D3080" w:rsidP="008D3080">
      <w:pPr>
        <w:spacing w:line="560" w:lineRule="exact"/>
      </w:pPr>
    </w:p>
    <w:p w14:paraId="4575D478" w14:textId="5464DF80" w:rsidR="005C597B" w:rsidRDefault="005C597B" w:rsidP="005C597B">
      <w:pPr>
        <w:pStyle w:val="Overskrift1"/>
      </w:pPr>
      <w:bookmarkStart w:id="0" w:name="_Toc83712805"/>
      <w:r>
        <w:t>Datagrundlag</w:t>
      </w:r>
    </w:p>
    <w:p w14:paraId="3CDF1E85" w14:textId="7F4BC5E4" w:rsidR="005C597B" w:rsidRDefault="004848FE" w:rsidP="005C597B">
      <w:r>
        <w:t>I nærværende notat er der brugt data fra energimærkningsordningen til vurdering af energieffektiviteten på tværs af de danske kommuner.</w:t>
      </w:r>
    </w:p>
    <w:p w14:paraId="18F3AC73" w14:textId="572B6B8D" w:rsidR="004848FE" w:rsidRDefault="004848FE" w:rsidP="005C597B"/>
    <w:p w14:paraId="37C9EDC5" w14:textId="265A6B3B" w:rsidR="004848FE" w:rsidRDefault="00722499" w:rsidP="005C597B">
      <w:r>
        <w:t>Til vurdering af energieffektiviteten er der brugt data fra 01-01-2011, da energimærket har en gyldighed på 10 år.</w:t>
      </w:r>
    </w:p>
    <w:p w14:paraId="75D06A95" w14:textId="5795C027" w:rsidR="002B5E15" w:rsidRDefault="002B5E15" w:rsidP="005C597B"/>
    <w:p w14:paraId="26F972E8" w14:textId="6DB858A4" w:rsidR="002B5E15" w:rsidRPr="005C597B" w:rsidRDefault="002B5E15" w:rsidP="005C597B">
      <w:r>
        <w:t>Til vurdering af besparelsespotentialer er der brugt data fra 01-01-2018, for at undgå at overvurdere besparelsespotentialet, da det må formodes at der er sket en løbende re</w:t>
      </w:r>
      <w:r w:rsidR="00687C65">
        <w:t>novering/forbedring.</w:t>
      </w:r>
    </w:p>
    <w:p w14:paraId="5113ADB9" w14:textId="4A76AA73" w:rsidR="005C597B" w:rsidRDefault="005C597B">
      <w:pPr>
        <w:spacing w:after="200" w:line="276" w:lineRule="auto"/>
        <w:rPr>
          <w:rFonts w:eastAsiaTheme="majorEastAsia" w:cstheme="majorBidi"/>
          <w:b/>
          <w:bCs/>
          <w:color w:val="001A50"/>
          <w:sz w:val="32"/>
          <w:szCs w:val="32"/>
        </w:rPr>
      </w:pPr>
      <w:r>
        <w:br w:type="page"/>
      </w:r>
    </w:p>
    <w:p w14:paraId="2E9E6DFE" w14:textId="5165FFD0" w:rsidR="00C26C34" w:rsidRDefault="00741DC9" w:rsidP="00593AE0">
      <w:pPr>
        <w:pStyle w:val="Overskrift1"/>
      </w:pPr>
      <w:r>
        <w:lastRenderedPageBreak/>
        <w:t>Stor forskel i e</w:t>
      </w:r>
      <w:r w:rsidR="00593AE0" w:rsidRPr="00593AE0">
        <w:t>nergieffektivitet</w:t>
      </w:r>
      <w:r>
        <w:t xml:space="preserve"> blandt landets kommuner</w:t>
      </w:r>
      <w:bookmarkEnd w:id="0"/>
    </w:p>
    <w:p w14:paraId="4C241CD9" w14:textId="20738E92" w:rsidR="007F0A3A" w:rsidRDefault="007F0A3A" w:rsidP="007F0A3A"/>
    <w:p w14:paraId="0C31336F" w14:textId="453CD40D" w:rsidR="007F0A3A" w:rsidRPr="007F0A3A" w:rsidRDefault="00C25E57" w:rsidP="002A011E">
      <w:pPr>
        <w:pStyle w:val="Overskrift3"/>
      </w:pPr>
      <w:r>
        <w:t>Fordeling af energimærker i det offentlig</w:t>
      </w:r>
    </w:p>
    <w:p w14:paraId="0601BFFF" w14:textId="45E565BB" w:rsidR="00741DC9" w:rsidRDefault="00774448" w:rsidP="00741DC9">
      <w:r w:rsidRPr="00774448">
        <w:rPr>
          <w:noProof/>
        </w:rPr>
        <w:drawing>
          <wp:inline distT="0" distB="0" distL="0" distR="0" wp14:anchorId="0C7C9546" wp14:editId="669D3242">
            <wp:extent cx="5465493" cy="3372928"/>
            <wp:effectExtent l="0" t="0" r="190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67747" cy="337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D3851" w14:textId="4BE4C696" w:rsidR="00C25E57" w:rsidRDefault="00774448" w:rsidP="00BE1DFE">
      <w:pPr>
        <w:pStyle w:val="Listeafsnit"/>
        <w:numPr>
          <w:ilvl w:val="0"/>
          <w:numId w:val="11"/>
        </w:numPr>
      </w:pPr>
      <w:r>
        <w:t>&gt;20</w:t>
      </w:r>
      <w:r w:rsidR="00C25E57">
        <w:t xml:space="preserve"> %</w:t>
      </w:r>
      <w:r w:rsidR="00BE1DFE">
        <w:t xml:space="preserve"> af alle energimærker på offentligt ejede bygninger er E, F eller G</w:t>
      </w:r>
    </w:p>
    <w:p w14:paraId="22A35118" w14:textId="0163C270" w:rsidR="003D2F07" w:rsidRDefault="003D2F07" w:rsidP="00BE1DFE">
      <w:pPr>
        <w:pStyle w:val="Listeafsnit"/>
        <w:numPr>
          <w:ilvl w:val="0"/>
          <w:numId w:val="11"/>
        </w:numPr>
      </w:pPr>
      <w:r>
        <w:t xml:space="preserve">Det er et generelt billede vi ser, at </w:t>
      </w:r>
      <w:r w:rsidR="00CE1DD4">
        <w:t>der er flest bygninger i den ”tunge” ende af skalaen.</w:t>
      </w:r>
    </w:p>
    <w:p w14:paraId="6D89E47F" w14:textId="22551104" w:rsidR="002B01BE" w:rsidRDefault="002B01BE" w:rsidP="002B01BE"/>
    <w:p w14:paraId="347A8AF0" w14:textId="77777777" w:rsidR="002B01BE" w:rsidRDefault="002B01BE" w:rsidP="002B01BE"/>
    <w:p w14:paraId="51B94262" w14:textId="410C78CE" w:rsidR="00741DC9" w:rsidRDefault="00741DC9" w:rsidP="00741DC9"/>
    <w:p w14:paraId="16835CE4" w14:textId="53CECA40" w:rsidR="00C23284" w:rsidRDefault="00C23284" w:rsidP="00741DC9"/>
    <w:p w14:paraId="5F9A16F7" w14:textId="1522D1E1" w:rsidR="00A3492A" w:rsidRDefault="00FD2753" w:rsidP="00741DC9">
      <w:r w:rsidRPr="00FD2753">
        <w:rPr>
          <w:noProof/>
        </w:rPr>
        <w:drawing>
          <wp:inline distT="0" distB="0" distL="0" distR="0" wp14:anchorId="73DA7283" wp14:editId="559790DD">
            <wp:extent cx="5382883" cy="3321947"/>
            <wp:effectExtent l="0" t="0" r="889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85380" cy="3323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7DBBB" w14:textId="0E4F567E" w:rsidR="00231BF3" w:rsidRDefault="008D10F3" w:rsidP="00231BF3">
      <w:pPr>
        <w:pStyle w:val="Listeafsnit"/>
        <w:numPr>
          <w:ilvl w:val="0"/>
          <w:numId w:val="11"/>
        </w:numPr>
      </w:pPr>
      <w:r>
        <w:t>I</w:t>
      </w:r>
      <w:r w:rsidR="001668C3">
        <w:t xml:space="preserve"> </w:t>
      </w:r>
      <w:r w:rsidR="00E06F96">
        <w:t>5</w:t>
      </w:r>
      <w:r w:rsidR="001668C3">
        <w:t xml:space="preserve">0 ud af 98 kommuner </w:t>
      </w:r>
      <w:r w:rsidR="002E1719">
        <w:t>er a</w:t>
      </w:r>
      <w:r w:rsidR="00FD0694">
        <w:t xml:space="preserve">ndelen af energimærker i hver kommune, der er E, F eller G </w:t>
      </w:r>
      <w:r>
        <w:rPr>
          <w:rFonts w:cstheme="minorHAnsi"/>
        </w:rPr>
        <w:t>≥</w:t>
      </w:r>
      <w:r w:rsidR="00A52CA0">
        <w:t xml:space="preserve"> 25 % </w:t>
      </w:r>
    </w:p>
    <w:p w14:paraId="14B5C6BD" w14:textId="77777777" w:rsidR="002C1CA1" w:rsidRDefault="002C1CA1" w:rsidP="002C1CA1"/>
    <w:p w14:paraId="5B50B9DC" w14:textId="77777777" w:rsidR="00942F59" w:rsidRPr="005754CE" w:rsidRDefault="00942F59" w:rsidP="00942F59">
      <w:pPr>
        <w:pStyle w:val="OverskriftGrn"/>
      </w:pPr>
      <w:r w:rsidRPr="005754CE">
        <w:lastRenderedPageBreak/>
        <w:t>Top-5 bedste</w:t>
      </w:r>
      <w:r>
        <w:t>- og dårligste</w:t>
      </w:r>
      <w:r w:rsidRPr="005754CE">
        <w:t xml:space="preserve"> kommuner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19"/>
        <w:gridCol w:w="3021"/>
      </w:tblGrid>
      <w:tr w:rsidR="00942F59" w14:paraId="0CB67393" w14:textId="77777777" w:rsidTr="00867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19" w:type="dxa"/>
          </w:tcPr>
          <w:p w14:paraId="42F7039D" w14:textId="77777777" w:rsidR="00942F59" w:rsidRDefault="00942F59" w:rsidP="00867254">
            <w:r>
              <w:t>Kommune</w:t>
            </w:r>
          </w:p>
        </w:tc>
        <w:tc>
          <w:tcPr>
            <w:tcW w:w="3021" w:type="dxa"/>
          </w:tcPr>
          <w:p w14:paraId="19527DF2" w14:textId="77777777" w:rsidR="00942F59" w:rsidRDefault="00942F59" w:rsidP="00867254">
            <w:r>
              <w:t>Andel E-</w:t>
            </w:r>
          </w:p>
        </w:tc>
      </w:tr>
      <w:tr w:rsidR="00942F59" w14:paraId="7FC77175" w14:textId="77777777" w:rsidTr="00867254">
        <w:tc>
          <w:tcPr>
            <w:tcW w:w="3019" w:type="dxa"/>
          </w:tcPr>
          <w:p w14:paraId="4E7C8CE4" w14:textId="77777777" w:rsidR="00942F59" w:rsidRDefault="00942F59" w:rsidP="00867254">
            <w:r w:rsidRPr="00180EB8">
              <w:t>Ringkøbing-Skjern Kommune</w:t>
            </w:r>
          </w:p>
        </w:tc>
        <w:tc>
          <w:tcPr>
            <w:tcW w:w="3021" w:type="dxa"/>
          </w:tcPr>
          <w:p w14:paraId="1B35F367" w14:textId="77777777" w:rsidR="00942F59" w:rsidRDefault="00942F59" w:rsidP="00867254">
            <w:r>
              <w:t>4,4 %</w:t>
            </w:r>
          </w:p>
        </w:tc>
      </w:tr>
      <w:tr w:rsidR="00942F59" w14:paraId="70AAB96C" w14:textId="77777777" w:rsidTr="00867254">
        <w:tc>
          <w:tcPr>
            <w:tcW w:w="3019" w:type="dxa"/>
          </w:tcPr>
          <w:p w14:paraId="21589ACE" w14:textId="77777777" w:rsidR="00942F59" w:rsidRDefault="00942F59" w:rsidP="00867254">
            <w:r>
              <w:t>Rebild Kommune</w:t>
            </w:r>
          </w:p>
        </w:tc>
        <w:tc>
          <w:tcPr>
            <w:tcW w:w="3021" w:type="dxa"/>
          </w:tcPr>
          <w:p w14:paraId="5F3789B4" w14:textId="77777777" w:rsidR="00942F59" w:rsidRDefault="00942F59" w:rsidP="00867254">
            <w:r>
              <w:t>8,4 %</w:t>
            </w:r>
          </w:p>
        </w:tc>
      </w:tr>
      <w:tr w:rsidR="00942F59" w14:paraId="4222F673" w14:textId="77777777" w:rsidTr="00867254">
        <w:tc>
          <w:tcPr>
            <w:tcW w:w="3019" w:type="dxa"/>
          </w:tcPr>
          <w:p w14:paraId="609847D0" w14:textId="77777777" w:rsidR="00942F59" w:rsidRDefault="00942F59" w:rsidP="00867254">
            <w:r>
              <w:t>Solrød Kommune</w:t>
            </w:r>
          </w:p>
        </w:tc>
        <w:tc>
          <w:tcPr>
            <w:tcW w:w="3021" w:type="dxa"/>
          </w:tcPr>
          <w:p w14:paraId="4D07DFD6" w14:textId="77777777" w:rsidR="00942F59" w:rsidRDefault="00942F59" w:rsidP="00867254">
            <w:r>
              <w:t>8,6 %</w:t>
            </w:r>
          </w:p>
        </w:tc>
      </w:tr>
      <w:tr w:rsidR="00942F59" w14:paraId="665C31CC" w14:textId="77777777" w:rsidTr="00867254">
        <w:tc>
          <w:tcPr>
            <w:tcW w:w="3019" w:type="dxa"/>
          </w:tcPr>
          <w:p w14:paraId="52556E39" w14:textId="77777777" w:rsidR="00942F59" w:rsidRDefault="00942F59" w:rsidP="00867254">
            <w:r>
              <w:t>Skanderborg Kommune</w:t>
            </w:r>
          </w:p>
        </w:tc>
        <w:tc>
          <w:tcPr>
            <w:tcW w:w="3021" w:type="dxa"/>
          </w:tcPr>
          <w:p w14:paraId="32724F62" w14:textId="77777777" w:rsidR="00942F59" w:rsidRDefault="00942F59" w:rsidP="00867254">
            <w:r>
              <w:t>9,5 %</w:t>
            </w:r>
          </w:p>
        </w:tc>
      </w:tr>
      <w:tr w:rsidR="00942F59" w14:paraId="2E013517" w14:textId="77777777" w:rsidTr="00867254">
        <w:tc>
          <w:tcPr>
            <w:tcW w:w="3019" w:type="dxa"/>
          </w:tcPr>
          <w:p w14:paraId="79EF5F15" w14:textId="77777777" w:rsidR="00942F59" w:rsidRDefault="00942F59" w:rsidP="00867254">
            <w:r>
              <w:t>Favrskov Kommune</w:t>
            </w:r>
          </w:p>
        </w:tc>
        <w:tc>
          <w:tcPr>
            <w:tcW w:w="3021" w:type="dxa"/>
          </w:tcPr>
          <w:p w14:paraId="6F1FB21F" w14:textId="77777777" w:rsidR="00942F59" w:rsidRDefault="00942F59" w:rsidP="00867254">
            <w:r>
              <w:t>9,8 %</w:t>
            </w:r>
          </w:p>
        </w:tc>
      </w:tr>
      <w:tr w:rsidR="00942F59" w14:paraId="3AB5E397" w14:textId="77777777" w:rsidTr="00867254">
        <w:tc>
          <w:tcPr>
            <w:tcW w:w="3019" w:type="dxa"/>
            <w:shd w:val="clear" w:color="auto" w:fill="D9D9D9" w:themeFill="background1" w:themeFillShade="D9"/>
          </w:tcPr>
          <w:p w14:paraId="7F5E877F" w14:textId="77777777" w:rsidR="00942F59" w:rsidRPr="00E8187A" w:rsidRDefault="00942F59" w:rsidP="00867254">
            <w:pPr>
              <w:rPr>
                <w:b/>
                <w:bCs/>
              </w:rPr>
            </w:pPr>
            <w:r w:rsidRPr="00E8187A">
              <w:rPr>
                <w:b/>
                <w:bCs/>
              </w:rPr>
              <w:t>…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688112AA" w14:textId="77777777" w:rsidR="00942F59" w:rsidRPr="00E8187A" w:rsidRDefault="00942F59" w:rsidP="00867254">
            <w:pPr>
              <w:rPr>
                <w:b/>
                <w:bCs/>
              </w:rPr>
            </w:pPr>
            <w:r w:rsidRPr="00E8187A">
              <w:rPr>
                <w:b/>
                <w:bCs/>
              </w:rPr>
              <w:t>…</w:t>
            </w:r>
          </w:p>
        </w:tc>
      </w:tr>
      <w:tr w:rsidR="00942F59" w14:paraId="69CE27E2" w14:textId="77777777" w:rsidTr="00867254">
        <w:tc>
          <w:tcPr>
            <w:tcW w:w="3019" w:type="dxa"/>
          </w:tcPr>
          <w:p w14:paraId="6EE8FDE8" w14:textId="7DF37148" w:rsidR="00942F59" w:rsidRPr="00703848" w:rsidRDefault="00942F59" w:rsidP="00867254">
            <w:pPr>
              <w:rPr>
                <w:color w:val="BFBFBF" w:themeColor="background1" w:themeShade="BF"/>
              </w:rPr>
            </w:pPr>
          </w:p>
        </w:tc>
        <w:tc>
          <w:tcPr>
            <w:tcW w:w="3021" w:type="dxa"/>
          </w:tcPr>
          <w:p w14:paraId="7B619641" w14:textId="77777777" w:rsidR="00942F59" w:rsidRDefault="00942F59" w:rsidP="00867254">
            <w:r>
              <w:t>42,9 %</w:t>
            </w:r>
          </w:p>
        </w:tc>
      </w:tr>
      <w:tr w:rsidR="00942F59" w14:paraId="202DC2A4" w14:textId="77777777" w:rsidTr="00867254">
        <w:tc>
          <w:tcPr>
            <w:tcW w:w="3019" w:type="dxa"/>
          </w:tcPr>
          <w:p w14:paraId="24DCF513" w14:textId="7F4DC526" w:rsidR="00942F59" w:rsidRPr="00703848" w:rsidRDefault="00942F59" w:rsidP="00867254">
            <w:pPr>
              <w:rPr>
                <w:color w:val="BFBFBF" w:themeColor="background1" w:themeShade="BF"/>
              </w:rPr>
            </w:pPr>
          </w:p>
        </w:tc>
        <w:tc>
          <w:tcPr>
            <w:tcW w:w="3021" w:type="dxa"/>
          </w:tcPr>
          <w:p w14:paraId="4BB2A9ED" w14:textId="77777777" w:rsidR="00942F59" w:rsidRDefault="00942F59" w:rsidP="00867254">
            <w:r>
              <w:t>46,0 %</w:t>
            </w:r>
          </w:p>
        </w:tc>
      </w:tr>
      <w:tr w:rsidR="00942F59" w14:paraId="15FC497B" w14:textId="77777777" w:rsidTr="00867254">
        <w:tc>
          <w:tcPr>
            <w:tcW w:w="3019" w:type="dxa"/>
          </w:tcPr>
          <w:p w14:paraId="1690C361" w14:textId="65913585" w:rsidR="00942F59" w:rsidRPr="00703848" w:rsidRDefault="00942F59" w:rsidP="00867254">
            <w:pPr>
              <w:rPr>
                <w:color w:val="BFBFBF" w:themeColor="background1" w:themeShade="BF"/>
              </w:rPr>
            </w:pPr>
          </w:p>
        </w:tc>
        <w:tc>
          <w:tcPr>
            <w:tcW w:w="3021" w:type="dxa"/>
          </w:tcPr>
          <w:p w14:paraId="4AA423C0" w14:textId="77777777" w:rsidR="00942F59" w:rsidRDefault="00942F59" w:rsidP="00867254">
            <w:r>
              <w:t>47,0 %</w:t>
            </w:r>
          </w:p>
        </w:tc>
      </w:tr>
      <w:tr w:rsidR="00942F59" w14:paraId="190B1111" w14:textId="77777777" w:rsidTr="00867254">
        <w:tc>
          <w:tcPr>
            <w:tcW w:w="3019" w:type="dxa"/>
          </w:tcPr>
          <w:p w14:paraId="0A9BA72A" w14:textId="0EBF0CC1" w:rsidR="00942F59" w:rsidRPr="00703848" w:rsidRDefault="00942F59" w:rsidP="00867254">
            <w:pPr>
              <w:rPr>
                <w:color w:val="BFBFBF" w:themeColor="background1" w:themeShade="BF"/>
              </w:rPr>
            </w:pPr>
          </w:p>
        </w:tc>
        <w:tc>
          <w:tcPr>
            <w:tcW w:w="3021" w:type="dxa"/>
          </w:tcPr>
          <w:p w14:paraId="1068A192" w14:textId="77777777" w:rsidR="00942F59" w:rsidRDefault="00942F59" w:rsidP="00867254">
            <w:r>
              <w:t>52,5 %</w:t>
            </w:r>
          </w:p>
        </w:tc>
      </w:tr>
      <w:tr w:rsidR="00942F59" w14:paraId="0515D1F7" w14:textId="77777777" w:rsidTr="00867254">
        <w:tc>
          <w:tcPr>
            <w:tcW w:w="3019" w:type="dxa"/>
          </w:tcPr>
          <w:p w14:paraId="589A8766" w14:textId="52590EFF" w:rsidR="00942F59" w:rsidRPr="00703848" w:rsidRDefault="00942F59" w:rsidP="00867254">
            <w:pPr>
              <w:rPr>
                <w:color w:val="BFBFBF" w:themeColor="background1" w:themeShade="BF"/>
              </w:rPr>
            </w:pPr>
          </w:p>
        </w:tc>
        <w:tc>
          <w:tcPr>
            <w:tcW w:w="3021" w:type="dxa"/>
          </w:tcPr>
          <w:p w14:paraId="3B49462C" w14:textId="77777777" w:rsidR="00942F59" w:rsidRDefault="00942F59" w:rsidP="00867254">
            <w:r>
              <w:t>53,7 %</w:t>
            </w:r>
          </w:p>
        </w:tc>
      </w:tr>
    </w:tbl>
    <w:p w14:paraId="3124AB40" w14:textId="77777777" w:rsidR="00942F59" w:rsidRDefault="00942F59" w:rsidP="009B60A9"/>
    <w:p w14:paraId="1C59BE83" w14:textId="77777777" w:rsidR="00A52CA0" w:rsidRDefault="00A52CA0" w:rsidP="008D10F3">
      <w:pPr>
        <w:ind w:left="360"/>
      </w:pPr>
    </w:p>
    <w:p w14:paraId="5D04E3EC" w14:textId="40F826D9" w:rsidR="002B01BE" w:rsidRDefault="001E6121" w:rsidP="00741DC9">
      <w:r w:rsidRPr="001E6121">
        <w:rPr>
          <w:noProof/>
        </w:rPr>
        <w:drawing>
          <wp:inline distT="0" distB="0" distL="0" distR="0" wp14:anchorId="0AF72C9A" wp14:editId="62B97728">
            <wp:extent cx="5395602" cy="3329796"/>
            <wp:effectExtent l="0" t="0" r="0" b="4445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97106" cy="333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18DC4" w14:textId="02FF67C8" w:rsidR="00CF58D4" w:rsidRDefault="009F26FD" w:rsidP="00CF58D4">
      <w:pPr>
        <w:pStyle w:val="Listeafsnit"/>
        <w:numPr>
          <w:ilvl w:val="0"/>
          <w:numId w:val="11"/>
        </w:numPr>
      </w:pPr>
      <w:r>
        <w:t>1</w:t>
      </w:r>
      <w:r w:rsidR="002D67F9">
        <w:t>3</w:t>
      </w:r>
      <w:r>
        <w:t xml:space="preserve"> kommuner har</w:t>
      </w:r>
      <w:r w:rsidR="00345D3C">
        <w:t xml:space="preserve"> en andel af energimærker, der er B eller bedre, </w:t>
      </w:r>
      <w:r w:rsidR="00612539">
        <w:t>der er under 10 %.</w:t>
      </w:r>
    </w:p>
    <w:p w14:paraId="1B3D133D" w14:textId="06EB28E5" w:rsidR="00CA7D9B" w:rsidRDefault="00CA7D9B" w:rsidP="00CA7D9B"/>
    <w:p w14:paraId="068C8D58" w14:textId="59172CA1" w:rsidR="00CA7D9B" w:rsidRDefault="00CA7D9B" w:rsidP="00CA7D9B"/>
    <w:p w14:paraId="6917F726" w14:textId="0EFBB212" w:rsidR="00CA7D9B" w:rsidRPr="005754CE" w:rsidRDefault="005754CE" w:rsidP="005754CE">
      <w:pPr>
        <w:pStyle w:val="OverskriftGrn"/>
      </w:pPr>
      <w:r w:rsidRPr="005754CE">
        <w:t>Top-5 bedste</w:t>
      </w:r>
      <w:r w:rsidR="00942F59">
        <w:t>- og dårligste</w:t>
      </w:r>
      <w:r w:rsidRPr="005754CE">
        <w:t xml:space="preserve"> kommuner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19"/>
        <w:gridCol w:w="3021"/>
      </w:tblGrid>
      <w:tr w:rsidR="006F34C6" w14:paraId="7D6F140E" w14:textId="77777777" w:rsidTr="00D07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19" w:type="dxa"/>
          </w:tcPr>
          <w:p w14:paraId="41D1F961" w14:textId="3E119B10" w:rsidR="006F34C6" w:rsidRDefault="00127D5F" w:rsidP="00CA7D9B">
            <w:r>
              <w:t>Kommune</w:t>
            </w:r>
          </w:p>
        </w:tc>
        <w:tc>
          <w:tcPr>
            <w:tcW w:w="3021" w:type="dxa"/>
          </w:tcPr>
          <w:p w14:paraId="05D424E8" w14:textId="74081D1D" w:rsidR="006F34C6" w:rsidRDefault="006F34C6" w:rsidP="00CA7D9B">
            <w:r>
              <w:t xml:space="preserve">Andel </w:t>
            </w:r>
            <w:r w:rsidR="00942F59">
              <w:t>B+</w:t>
            </w:r>
          </w:p>
        </w:tc>
      </w:tr>
      <w:tr w:rsidR="006F34C6" w14:paraId="3947492A" w14:textId="77777777" w:rsidTr="00D07024">
        <w:tc>
          <w:tcPr>
            <w:tcW w:w="3019" w:type="dxa"/>
          </w:tcPr>
          <w:p w14:paraId="296165FB" w14:textId="5A452986" w:rsidR="006F34C6" w:rsidRDefault="00702B54" w:rsidP="00CA7D9B">
            <w:r>
              <w:t>Solrød Kommune</w:t>
            </w:r>
          </w:p>
        </w:tc>
        <w:tc>
          <w:tcPr>
            <w:tcW w:w="3021" w:type="dxa"/>
          </w:tcPr>
          <w:p w14:paraId="5C26E2B5" w14:textId="70744AF0" w:rsidR="006F34C6" w:rsidRDefault="00702B54" w:rsidP="00CA7D9B">
            <w:r>
              <w:t>5</w:t>
            </w:r>
            <w:r w:rsidR="00180EB8">
              <w:t>4,</w:t>
            </w:r>
            <w:r>
              <w:t>7</w:t>
            </w:r>
            <w:r w:rsidR="006F34C6">
              <w:t xml:space="preserve"> %</w:t>
            </w:r>
          </w:p>
        </w:tc>
      </w:tr>
      <w:tr w:rsidR="006F34C6" w14:paraId="3444D308" w14:textId="77777777" w:rsidTr="00D07024">
        <w:tc>
          <w:tcPr>
            <w:tcW w:w="3019" w:type="dxa"/>
          </w:tcPr>
          <w:p w14:paraId="7ECE9F74" w14:textId="73284D05" w:rsidR="006F34C6" w:rsidRDefault="00702B54" w:rsidP="00CA7D9B">
            <w:r>
              <w:t>Odder Kommune</w:t>
            </w:r>
          </w:p>
        </w:tc>
        <w:tc>
          <w:tcPr>
            <w:tcW w:w="3021" w:type="dxa"/>
          </w:tcPr>
          <w:p w14:paraId="4FF21983" w14:textId="7C9501BE" w:rsidR="006F34C6" w:rsidRDefault="001269A5" w:rsidP="00CA7D9B">
            <w:r>
              <w:t>50.3 %</w:t>
            </w:r>
          </w:p>
        </w:tc>
      </w:tr>
      <w:tr w:rsidR="006F34C6" w14:paraId="54DEAD6F" w14:textId="77777777" w:rsidTr="00D07024">
        <w:tc>
          <w:tcPr>
            <w:tcW w:w="3019" w:type="dxa"/>
          </w:tcPr>
          <w:p w14:paraId="4F60994C" w14:textId="1D02F303" w:rsidR="006F34C6" w:rsidRDefault="00702B54" w:rsidP="00CA7D9B">
            <w:r>
              <w:t>Horsens Kommune</w:t>
            </w:r>
          </w:p>
        </w:tc>
        <w:tc>
          <w:tcPr>
            <w:tcW w:w="3021" w:type="dxa"/>
          </w:tcPr>
          <w:p w14:paraId="06282E7E" w14:textId="69BF5ABD" w:rsidR="006F34C6" w:rsidRDefault="001269A5" w:rsidP="00CA7D9B">
            <w:r>
              <w:t>49,4 %</w:t>
            </w:r>
          </w:p>
        </w:tc>
      </w:tr>
      <w:tr w:rsidR="006F34C6" w14:paraId="33B25F02" w14:textId="77777777" w:rsidTr="00D07024">
        <w:tc>
          <w:tcPr>
            <w:tcW w:w="3019" w:type="dxa"/>
          </w:tcPr>
          <w:p w14:paraId="7DB05EC0" w14:textId="41287BB6" w:rsidR="006F34C6" w:rsidRDefault="00702B54" w:rsidP="00CA7D9B">
            <w:r>
              <w:t>Billund Kommune</w:t>
            </w:r>
          </w:p>
        </w:tc>
        <w:tc>
          <w:tcPr>
            <w:tcW w:w="3021" w:type="dxa"/>
          </w:tcPr>
          <w:p w14:paraId="115DED7F" w14:textId="6E0AB7E1" w:rsidR="006F34C6" w:rsidRDefault="001269A5" w:rsidP="00CA7D9B">
            <w:r>
              <w:t>44,8 %</w:t>
            </w:r>
          </w:p>
        </w:tc>
      </w:tr>
      <w:tr w:rsidR="006F34C6" w14:paraId="6CB22335" w14:textId="77777777" w:rsidTr="00D07024">
        <w:tc>
          <w:tcPr>
            <w:tcW w:w="3019" w:type="dxa"/>
          </w:tcPr>
          <w:p w14:paraId="5CF38F30" w14:textId="7DAE751B" w:rsidR="006F34C6" w:rsidRDefault="001269A5" w:rsidP="00CA7D9B">
            <w:r>
              <w:t>Aabenraa Kommune</w:t>
            </w:r>
          </w:p>
        </w:tc>
        <w:tc>
          <w:tcPr>
            <w:tcW w:w="3021" w:type="dxa"/>
          </w:tcPr>
          <w:p w14:paraId="7820CDED" w14:textId="4054D2B9" w:rsidR="006F34C6" w:rsidRDefault="001269A5" w:rsidP="00CA7D9B">
            <w:r>
              <w:t>43,5 %</w:t>
            </w:r>
          </w:p>
        </w:tc>
      </w:tr>
      <w:tr w:rsidR="00E8187A" w14:paraId="3753D753" w14:textId="77777777" w:rsidTr="00E8187A">
        <w:tc>
          <w:tcPr>
            <w:tcW w:w="3019" w:type="dxa"/>
            <w:shd w:val="clear" w:color="auto" w:fill="D9D9D9" w:themeFill="background1" w:themeFillShade="D9"/>
          </w:tcPr>
          <w:p w14:paraId="55DDEAE0" w14:textId="11041A33" w:rsidR="00E8187A" w:rsidRPr="00E8187A" w:rsidRDefault="00E8187A" w:rsidP="00CA7D9B">
            <w:pPr>
              <w:rPr>
                <w:b/>
                <w:bCs/>
              </w:rPr>
            </w:pPr>
            <w:r w:rsidRPr="00E8187A">
              <w:rPr>
                <w:b/>
                <w:bCs/>
              </w:rPr>
              <w:t>…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3D887741" w14:textId="45E78855" w:rsidR="00E8187A" w:rsidRPr="00E8187A" w:rsidRDefault="00E8187A" w:rsidP="00CA7D9B">
            <w:pPr>
              <w:rPr>
                <w:b/>
                <w:bCs/>
              </w:rPr>
            </w:pPr>
            <w:r w:rsidRPr="00E8187A">
              <w:rPr>
                <w:b/>
                <w:bCs/>
              </w:rPr>
              <w:t>…</w:t>
            </w:r>
          </w:p>
        </w:tc>
      </w:tr>
      <w:tr w:rsidR="00B27809" w14:paraId="0554D730" w14:textId="77777777" w:rsidTr="00D07024">
        <w:tc>
          <w:tcPr>
            <w:tcW w:w="3019" w:type="dxa"/>
          </w:tcPr>
          <w:p w14:paraId="2337550C" w14:textId="2BC1ABE6" w:rsidR="00B27809" w:rsidRPr="00703848" w:rsidRDefault="00B27809" w:rsidP="00B27809">
            <w:pPr>
              <w:rPr>
                <w:color w:val="BFBFBF" w:themeColor="background1" w:themeShade="BF"/>
              </w:rPr>
            </w:pPr>
          </w:p>
        </w:tc>
        <w:tc>
          <w:tcPr>
            <w:tcW w:w="3021" w:type="dxa"/>
          </w:tcPr>
          <w:p w14:paraId="1CC67A77" w14:textId="341AD726" w:rsidR="00B27809" w:rsidRDefault="00B27809" w:rsidP="00B27809">
            <w:r>
              <w:t>8,1 %</w:t>
            </w:r>
          </w:p>
        </w:tc>
      </w:tr>
      <w:tr w:rsidR="00B27809" w14:paraId="675DE879" w14:textId="77777777" w:rsidTr="00D07024">
        <w:tc>
          <w:tcPr>
            <w:tcW w:w="3019" w:type="dxa"/>
          </w:tcPr>
          <w:p w14:paraId="36AD1C14" w14:textId="3FEC520C" w:rsidR="00B27809" w:rsidRPr="00703848" w:rsidRDefault="00B27809" w:rsidP="00B27809">
            <w:pPr>
              <w:rPr>
                <w:color w:val="BFBFBF" w:themeColor="background1" w:themeShade="BF"/>
              </w:rPr>
            </w:pPr>
          </w:p>
        </w:tc>
        <w:tc>
          <w:tcPr>
            <w:tcW w:w="3021" w:type="dxa"/>
          </w:tcPr>
          <w:p w14:paraId="2A1AF60C" w14:textId="7839F64B" w:rsidR="00B27809" w:rsidRDefault="00B27809" w:rsidP="00B27809">
            <w:r>
              <w:t>7,5 %</w:t>
            </w:r>
          </w:p>
        </w:tc>
      </w:tr>
      <w:tr w:rsidR="00B27809" w14:paraId="048A8B37" w14:textId="77777777" w:rsidTr="00D07024">
        <w:tc>
          <w:tcPr>
            <w:tcW w:w="3019" w:type="dxa"/>
          </w:tcPr>
          <w:p w14:paraId="018036F8" w14:textId="681478BD" w:rsidR="00B27809" w:rsidRDefault="00B27809" w:rsidP="00B27809">
            <w:pPr>
              <w:rPr>
                <w:color w:val="BFBFBF" w:themeColor="background1" w:themeShade="BF"/>
              </w:rPr>
            </w:pPr>
          </w:p>
        </w:tc>
        <w:tc>
          <w:tcPr>
            <w:tcW w:w="3021" w:type="dxa"/>
          </w:tcPr>
          <w:p w14:paraId="2EC9889C" w14:textId="2F55D5F9" w:rsidR="00B27809" w:rsidRDefault="00B27809" w:rsidP="00B27809">
            <w:r>
              <w:t>6,0 %</w:t>
            </w:r>
          </w:p>
        </w:tc>
      </w:tr>
      <w:tr w:rsidR="00B27809" w14:paraId="672942A6" w14:textId="77777777" w:rsidTr="00D07024">
        <w:tc>
          <w:tcPr>
            <w:tcW w:w="3019" w:type="dxa"/>
          </w:tcPr>
          <w:p w14:paraId="6F54CF46" w14:textId="7468D774" w:rsidR="00B27809" w:rsidRDefault="00B27809" w:rsidP="00B27809">
            <w:pPr>
              <w:rPr>
                <w:color w:val="BFBFBF" w:themeColor="background1" w:themeShade="BF"/>
              </w:rPr>
            </w:pPr>
          </w:p>
        </w:tc>
        <w:tc>
          <w:tcPr>
            <w:tcW w:w="3021" w:type="dxa"/>
          </w:tcPr>
          <w:p w14:paraId="23A0B415" w14:textId="5A4F2FF7" w:rsidR="00B27809" w:rsidRDefault="00B27809" w:rsidP="00B27809">
            <w:r>
              <w:t>4,9 %</w:t>
            </w:r>
          </w:p>
        </w:tc>
      </w:tr>
      <w:tr w:rsidR="00B27809" w14:paraId="7852B213" w14:textId="77777777" w:rsidTr="00D07024">
        <w:tc>
          <w:tcPr>
            <w:tcW w:w="3019" w:type="dxa"/>
          </w:tcPr>
          <w:p w14:paraId="2708B422" w14:textId="751E7373" w:rsidR="00B27809" w:rsidRDefault="00B27809" w:rsidP="00B27809">
            <w:pPr>
              <w:rPr>
                <w:color w:val="BFBFBF" w:themeColor="background1" w:themeShade="BF"/>
              </w:rPr>
            </w:pPr>
          </w:p>
        </w:tc>
        <w:tc>
          <w:tcPr>
            <w:tcW w:w="3021" w:type="dxa"/>
          </w:tcPr>
          <w:p w14:paraId="13F3500D" w14:textId="0BB1CE33" w:rsidR="00B27809" w:rsidRDefault="00B27809" w:rsidP="00B27809">
            <w:r>
              <w:t>1,9 %</w:t>
            </w:r>
          </w:p>
        </w:tc>
      </w:tr>
    </w:tbl>
    <w:p w14:paraId="2CFDA513" w14:textId="77777777" w:rsidR="005754CE" w:rsidRDefault="005754CE" w:rsidP="00CA7D9B"/>
    <w:p w14:paraId="404C885B" w14:textId="278EED1A" w:rsidR="002878F5" w:rsidRDefault="00E95F08" w:rsidP="002A5F71">
      <w:pPr>
        <w:pStyle w:val="OverskiftBl"/>
      </w:pPr>
      <w:bookmarkStart w:id="1" w:name="_Toc83712806"/>
      <w:r>
        <w:lastRenderedPageBreak/>
        <w:t>Energieffektivitet i det o</w:t>
      </w:r>
      <w:r w:rsidR="002878F5">
        <w:t>ffentlig</w:t>
      </w:r>
      <w:r>
        <w:t>e</w:t>
      </w:r>
      <w:r w:rsidR="002878F5">
        <w:t xml:space="preserve"> vs.</w:t>
      </w:r>
      <w:r>
        <w:t xml:space="preserve"> P</w:t>
      </w:r>
      <w:r w:rsidR="002878F5">
        <w:t>rivat</w:t>
      </w:r>
    </w:p>
    <w:p w14:paraId="41A26F69" w14:textId="220D5564" w:rsidR="002878F5" w:rsidRDefault="002878F5" w:rsidP="002878F5">
      <w:pPr>
        <w:pStyle w:val="Brdtekst"/>
      </w:pPr>
    </w:p>
    <w:p w14:paraId="7491B105" w14:textId="0CC90AC2" w:rsidR="00177E4D" w:rsidRDefault="00B37F31" w:rsidP="002878F5">
      <w:pPr>
        <w:pStyle w:val="Brdtekst"/>
      </w:pPr>
      <w:r w:rsidRPr="00B37F31">
        <w:rPr>
          <w:noProof/>
        </w:rPr>
        <w:drawing>
          <wp:inline distT="0" distB="0" distL="0" distR="0" wp14:anchorId="17AE77C4" wp14:editId="1AABBD95">
            <wp:extent cx="5760085" cy="3554730"/>
            <wp:effectExtent l="0" t="0" r="0" b="762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55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AFBEA" w14:textId="3962BA58" w:rsidR="006F6F88" w:rsidRDefault="00B54955" w:rsidP="00B54955">
      <w:pPr>
        <w:pStyle w:val="Brdtekst"/>
        <w:numPr>
          <w:ilvl w:val="0"/>
          <w:numId w:val="11"/>
        </w:numPr>
      </w:pPr>
      <w:r>
        <w:t>I 34 kommuner har</w:t>
      </w:r>
      <w:r w:rsidR="002801DD">
        <w:t xml:space="preserve"> de private bygninger en højere andel af bygninger, der er B-mærkede, eller bedre</w:t>
      </w:r>
      <w:r w:rsidR="005336F9">
        <w:t>, end de offentlige bygninger</w:t>
      </w:r>
    </w:p>
    <w:p w14:paraId="7606CD55" w14:textId="79DDDCAF" w:rsidR="0063560C" w:rsidRDefault="00143610" w:rsidP="0063489E">
      <w:pPr>
        <w:pStyle w:val="Brdtekst"/>
        <w:numPr>
          <w:ilvl w:val="1"/>
          <w:numId w:val="11"/>
        </w:numPr>
      </w:pPr>
      <w:r>
        <w:t>Fordelingen synes dog at være nogenlunde uafhængig af andelen af bygninger</w:t>
      </w:r>
      <w:r w:rsidR="00F85DCB">
        <w:t xml:space="preserve"> med B-mærkede (eller bedre) bygninger.</w:t>
      </w:r>
    </w:p>
    <w:p w14:paraId="4F681870" w14:textId="77777777" w:rsidR="005A31C7" w:rsidRDefault="005A31C7" w:rsidP="005A31C7">
      <w:pPr>
        <w:pStyle w:val="Brdtekst"/>
        <w:ind w:left="1440"/>
      </w:pPr>
    </w:p>
    <w:p w14:paraId="6BD7BC3F" w14:textId="49471F3D" w:rsidR="0094576D" w:rsidRDefault="0094576D" w:rsidP="002878F5">
      <w:pPr>
        <w:pStyle w:val="Brdtekst"/>
      </w:pPr>
      <w:r w:rsidRPr="0094576D">
        <w:rPr>
          <w:noProof/>
        </w:rPr>
        <w:drawing>
          <wp:inline distT="0" distB="0" distL="0" distR="0" wp14:anchorId="276F029B" wp14:editId="07DFF0B8">
            <wp:extent cx="5760085" cy="3554730"/>
            <wp:effectExtent l="0" t="0" r="0" b="7620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55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63C5A" w14:textId="7D7E7837" w:rsidR="00226DDB" w:rsidRDefault="00226DDB" w:rsidP="00226DDB">
      <w:pPr>
        <w:pStyle w:val="Brdtekst"/>
        <w:numPr>
          <w:ilvl w:val="0"/>
          <w:numId w:val="11"/>
        </w:numPr>
      </w:pPr>
      <w:r>
        <w:lastRenderedPageBreak/>
        <w:t xml:space="preserve">I 21 kommuner har </w:t>
      </w:r>
      <w:r w:rsidR="005336F9">
        <w:t>de private bygninger en lavere andel af bygninger, der er E-mærkede eller dårligere, end de offentlige bygninger</w:t>
      </w:r>
    </w:p>
    <w:p w14:paraId="5AA3A1C6" w14:textId="77777777" w:rsidR="00447036" w:rsidRPr="002878F5" w:rsidRDefault="00447036" w:rsidP="002878F5">
      <w:pPr>
        <w:pStyle w:val="Brdtekst"/>
      </w:pPr>
    </w:p>
    <w:p w14:paraId="0B9991D1" w14:textId="43C38EDD" w:rsidR="00C07A0A" w:rsidRDefault="00C07A0A" w:rsidP="002A5F71">
      <w:pPr>
        <w:pStyle w:val="OverskiftBl"/>
      </w:pPr>
      <w:r>
        <w:br w:type="page"/>
      </w:r>
    </w:p>
    <w:p w14:paraId="51ACA6F4" w14:textId="1C873F71" w:rsidR="000C1F26" w:rsidRDefault="000C1F26" w:rsidP="000C1F26">
      <w:pPr>
        <w:pStyle w:val="OverskiftBl"/>
      </w:pPr>
      <w:r>
        <w:lastRenderedPageBreak/>
        <w:t>Besparelses</w:t>
      </w:r>
      <w:r w:rsidR="00B66431">
        <w:t>potentialer</w:t>
      </w:r>
    </w:p>
    <w:p w14:paraId="4F17FBFD" w14:textId="6070FDEE" w:rsidR="00741DC9" w:rsidRPr="00741DC9" w:rsidRDefault="00223CAE" w:rsidP="00741DC9">
      <w:pPr>
        <w:pStyle w:val="Overskrift2"/>
        <w:ind w:left="737" w:hanging="737"/>
      </w:pPr>
      <w:r>
        <w:t>Stor</w:t>
      </w:r>
      <w:r w:rsidR="00741DC9">
        <w:t xml:space="preserve"> forskel på besparelsespotentialer</w:t>
      </w:r>
      <w:bookmarkEnd w:id="1"/>
    </w:p>
    <w:p w14:paraId="061C0496" w14:textId="62FA9C19" w:rsidR="001604BC" w:rsidRDefault="000127C1" w:rsidP="001604BC">
      <w:r w:rsidRPr="000127C1">
        <w:rPr>
          <w:noProof/>
        </w:rPr>
        <w:drawing>
          <wp:inline distT="0" distB="0" distL="0" distR="0" wp14:anchorId="56FD1E26" wp14:editId="0C5D3F7F">
            <wp:extent cx="5760085" cy="3554730"/>
            <wp:effectExtent l="0" t="0" r="0" b="762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55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304B9" w14:textId="0059CA7F" w:rsidR="00741DC9" w:rsidRDefault="0085315C" w:rsidP="00741DC9">
      <w:r w:rsidRPr="0085315C">
        <w:rPr>
          <w:noProof/>
        </w:rPr>
        <w:drawing>
          <wp:inline distT="0" distB="0" distL="0" distR="0" wp14:anchorId="727F45E1" wp14:editId="372B00C0">
            <wp:extent cx="5760085" cy="3554730"/>
            <wp:effectExtent l="0" t="0" r="0" b="7620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55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A20FD" w14:textId="25CB26AB" w:rsidR="00C62860" w:rsidRDefault="00FD1480" w:rsidP="00C62860">
      <w:pPr>
        <w:pStyle w:val="Listeafsnit"/>
        <w:numPr>
          <w:ilvl w:val="0"/>
          <w:numId w:val="11"/>
        </w:numPr>
      </w:pPr>
      <w:r>
        <w:t>Generelt har kommuner med en høj andel af energieffektive bygninger (stor andel af B</w:t>
      </w:r>
      <w:r w:rsidR="00185E65">
        <w:t>-mærker el. bedre) også et mindre besparelsespotentiale.</w:t>
      </w:r>
    </w:p>
    <w:p w14:paraId="37544D61" w14:textId="4C533466" w:rsidR="0085315C" w:rsidRDefault="000C5885" w:rsidP="00741DC9">
      <w:r w:rsidRPr="000C5885">
        <w:rPr>
          <w:noProof/>
        </w:rPr>
        <w:lastRenderedPageBreak/>
        <w:drawing>
          <wp:inline distT="0" distB="0" distL="0" distR="0" wp14:anchorId="2F0E10C9" wp14:editId="7B616292">
            <wp:extent cx="5760085" cy="3554730"/>
            <wp:effectExtent l="0" t="0" r="0" b="7620"/>
            <wp:docPr id="21" name="Bille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55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28B01" w14:textId="77777777" w:rsidR="00C36D69" w:rsidRDefault="00C36D69" w:rsidP="00741DC9"/>
    <w:p w14:paraId="78AF218C" w14:textId="2D646A96" w:rsidR="00B5778E" w:rsidRDefault="000C5885" w:rsidP="000C5885">
      <w:pPr>
        <w:pStyle w:val="Listeafsnit"/>
        <w:numPr>
          <w:ilvl w:val="0"/>
          <w:numId w:val="11"/>
        </w:numPr>
      </w:pPr>
      <w:r>
        <w:t>Ser vi på sammenhængen mellem besparelsespotentialet og</w:t>
      </w:r>
      <w:r w:rsidR="006C4C96">
        <w:t xml:space="preserve"> bygningernes energimærke, er det generelt sådan at kommuner med en høj andel af bygninger, der har </w:t>
      </w:r>
      <w:r w:rsidR="00C62860">
        <w:t xml:space="preserve">energimærke E, F, G, også har det største besparelsespotentiale. </w:t>
      </w:r>
    </w:p>
    <w:p w14:paraId="05319FB5" w14:textId="77777777" w:rsidR="000C5885" w:rsidRDefault="000C5885" w:rsidP="00741DC9"/>
    <w:p w14:paraId="2B344A42" w14:textId="77777777" w:rsidR="00B5778E" w:rsidRDefault="00B5778E" w:rsidP="00741DC9"/>
    <w:p w14:paraId="6129366F" w14:textId="374C67EA" w:rsidR="00741DC9" w:rsidRPr="00741DC9" w:rsidRDefault="00741DC9" w:rsidP="00741DC9">
      <w:pPr>
        <w:pStyle w:val="Overskrift2"/>
      </w:pPr>
      <w:bookmarkStart w:id="2" w:name="_Toc83712807"/>
      <w:r>
        <w:t>Fortsat stort besparelsespotentialer</w:t>
      </w:r>
      <w:r w:rsidR="00B25407">
        <w:t xml:space="preserve"> med kort tilbagebetalingstid</w:t>
      </w:r>
      <w:r>
        <w:t xml:space="preserve"> i de fleste kommuner</w:t>
      </w:r>
      <w:bookmarkEnd w:id="2"/>
    </w:p>
    <w:p w14:paraId="0E904CDD" w14:textId="19C8B133" w:rsidR="00735D7B" w:rsidRDefault="00735D7B" w:rsidP="00735D7B">
      <w:pPr>
        <w:pStyle w:val="Listeafsnit"/>
        <w:numPr>
          <w:ilvl w:val="0"/>
          <w:numId w:val="11"/>
        </w:numPr>
      </w:pPr>
      <w:r>
        <w:t>Samlet besparelsespotentiale (DKK/år): 25.660.328</w:t>
      </w:r>
      <w:r w:rsidR="00FA5701">
        <w:t xml:space="preserve"> kr.</w:t>
      </w:r>
    </w:p>
    <w:p w14:paraId="7428B658" w14:textId="3BC7ECDD" w:rsidR="009D6313" w:rsidRDefault="009D6313" w:rsidP="009D6313">
      <w:pPr>
        <w:pStyle w:val="Listeafsnit"/>
        <w:numPr>
          <w:ilvl w:val="0"/>
          <w:numId w:val="11"/>
        </w:numPr>
      </w:pPr>
      <w:r>
        <w:t>Samlet besparelsespotentiale (ton CO</w:t>
      </w:r>
      <w:r w:rsidRPr="009D6313">
        <w:rPr>
          <w:vertAlign w:val="subscript"/>
        </w:rPr>
        <w:t>2</w:t>
      </w:r>
      <w:r>
        <w:t>/år): 20.3</w:t>
      </w:r>
      <w:r w:rsidR="00FA5701">
        <w:t>13 ton/år</w:t>
      </w:r>
    </w:p>
    <w:p w14:paraId="2A9C32DD" w14:textId="6DA35471" w:rsidR="00735D7B" w:rsidRDefault="00FA5701" w:rsidP="00735D7B">
      <w:pPr>
        <w:pStyle w:val="Listeafsnit"/>
        <w:numPr>
          <w:ilvl w:val="0"/>
          <w:numId w:val="11"/>
        </w:numPr>
      </w:pPr>
      <w:proofErr w:type="spellStart"/>
      <w:r>
        <w:t>Gns</w:t>
      </w:r>
      <w:proofErr w:type="spellEnd"/>
      <w:r>
        <w:t>. Tilbagebetalingstid: 6,2 år</w:t>
      </w:r>
    </w:p>
    <w:p w14:paraId="2860E891" w14:textId="4A95FF72" w:rsidR="00FA5701" w:rsidRDefault="00B25407" w:rsidP="00FA5701">
      <w:r w:rsidRPr="00B25407">
        <w:rPr>
          <w:noProof/>
        </w:rPr>
        <w:lastRenderedPageBreak/>
        <w:drawing>
          <wp:inline distT="0" distB="0" distL="0" distR="0" wp14:anchorId="69A8B5E6" wp14:editId="74C1D4EB">
            <wp:extent cx="5760085" cy="3554730"/>
            <wp:effectExtent l="0" t="0" r="0" b="762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55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58609" w14:textId="72A40E5D" w:rsidR="00661C96" w:rsidRDefault="00661C96" w:rsidP="00FA5701"/>
    <w:p w14:paraId="1AC7F2CF" w14:textId="269CBE47" w:rsidR="00661C96" w:rsidRDefault="00942B40" w:rsidP="00661C96">
      <w:pPr>
        <w:pStyle w:val="Overskrift2"/>
      </w:pPr>
      <w:r>
        <w:t>Manglende energimærkning af bygninger</w:t>
      </w:r>
    </w:p>
    <w:p w14:paraId="663C7026" w14:textId="4DB87D82" w:rsidR="00942B40" w:rsidRDefault="00942B40" w:rsidP="00942B40">
      <w:r>
        <w:t xml:space="preserve">Der er (fortsat) en stor del af de kommunale bygninger, der enten ikke har fået lavet et energimærke, eller hvis energimærke er </w:t>
      </w:r>
      <w:r w:rsidR="00032DB9">
        <w:t xml:space="preserve">udløbet. Dette har naturligvis stor indflydelse på, hvor stort det </w:t>
      </w:r>
      <w:r w:rsidR="00527F82">
        <w:t>beregnede besparelsespotentiale bliver.</w:t>
      </w:r>
    </w:p>
    <w:p w14:paraId="39B3B826" w14:textId="3EAC4E11" w:rsidR="00527F82" w:rsidRDefault="00527F82" w:rsidP="00942B40"/>
    <w:p w14:paraId="733BA7DB" w14:textId="3A691297" w:rsidR="00527F82" w:rsidRDefault="00527F82" w:rsidP="00942B40">
      <w:r w:rsidRPr="00527F82">
        <w:drawing>
          <wp:inline distT="0" distB="0" distL="0" distR="0" wp14:anchorId="18A7C8BA" wp14:editId="16D5F4A7">
            <wp:extent cx="5760085" cy="3554730"/>
            <wp:effectExtent l="0" t="0" r="0" b="762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55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B067E" w14:textId="5B19B52F" w:rsidR="00A905CA" w:rsidRDefault="003F5B30" w:rsidP="00942B40">
      <w:r w:rsidRPr="003F5B30">
        <w:lastRenderedPageBreak/>
        <w:drawing>
          <wp:inline distT="0" distB="0" distL="0" distR="0" wp14:anchorId="0448C47D" wp14:editId="1CD6BD66">
            <wp:extent cx="5760085" cy="3554730"/>
            <wp:effectExtent l="0" t="0" r="0" b="7620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55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6ADE0" w14:textId="77777777" w:rsidR="003F5B30" w:rsidRDefault="003F5B30" w:rsidP="00942B40"/>
    <w:p w14:paraId="034C630B" w14:textId="2490F6C8" w:rsidR="00527F82" w:rsidRDefault="00877728" w:rsidP="00A84CC2">
      <w:pPr>
        <w:pStyle w:val="Listeafsnit"/>
        <w:numPr>
          <w:ilvl w:val="0"/>
          <w:numId w:val="11"/>
        </w:numPr>
      </w:pPr>
      <w:r>
        <w:t xml:space="preserve">32 ud af landets 98 kommuner har et gyldigt energimærke på </w:t>
      </w:r>
      <w:r w:rsidR="00464C7D">
        <w:t>mindre end 50 % af deres bygninger</w:t>
      </w:r>
    </w:p>
    <w:p w14:paraId="68581A3D" w14:textId="36EFDB3A" w:rsidR="0006686E" w:rsidRDefault="008A11AA" w:rsidP="00A84CC2">
      <w:pPr>
        <w:pStyle w:val="Listeafsnit"/>
        <w:numPr>
          <w:ilvl w:val="0"/>
          <w:numId w:val="11"/>
        </w:numPr>
      </w:pPr>
      <w:r>
        <w:t xml:space="preserve">Kun 43 af </w:t>
      </w:r>
      <w:r w:rsidR="00B40B83">
        <w:t>landets kommuner har gyldigt energimærke på mere end 75 % af deres bygninger</w:t>
      </w:r>
    </w:p>
    <w:p w14:paraId="7DA80361" w14:textId="43210695" w:rsidR="00464C7D" w:rsidRPr="00942B40" w:rsidRDefault="00464C7D" w:rsidP="00A84CC2">
      <w:pPr>
        <w:pStyle w:val="Listeafsnit"/>
        <w:numPr>
          <w:ilvl w:val="0"/>
          <w:numId w:val="11"/>
        </w:numPr>
      </w:pPr>
      <w:r>
        <w:t xml:space="preserve">Kun 5 af landet kommuner har et gyldigt energimærke på </w:t>
      </w:r>
      <w:r w:rsidR="007A3754">
        <w:t>mere end 90 % af deres bygninger</w:t>
      </w:r>
    </w:p>
    <w:sectPr w:rsidR="00464C7D" w:rsidRPr="00942B40" w:rsidSect="00D64E0F">
      <w:footerReference w:type="default" r:id="rId22"/>
      <w:headerReference w:type="first" r:id="rId23"/>
      <w:footerReference w:type="first" r:id="rId24"/>
      <w:type w:val="continuous"/>
      <w:pgSz w:w="11906" w:h="16838" w:code="9"/>
      <w:pgMar w:top="1418" w:right="1701" w:bottom="1559" w:left="1134" w:header="709" w:footer="828" w:gutter="0"/>
      <w:cols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3555E" w14:textId="77777777" w:rsidR="009E2CA2" w:rsidRDefault="009E2CA2" w:rsidP="00867C79">
      <w:r>
        <w:separator/>
      </w:r>
    </w:p>
  </w:endnote>
  <w:endnote w:type="continuationSeparator" w:id="0">
    <w:p w14:paraId="2DA6E4FD" w14:textId="77777777" w:rsidR="009E2CA2" w:rsidRDefault="009E2CA2" w:rsidP="0086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A3D9" w14:textId="77777777" w:rsidR="00850B81" w:rsidRDefault="00C26C34">
    <w:pPr>
      <w:pStyle w:val="Sidefod"/>
    </w:pPr>
    <w:r w:rsidRPr="00896B22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1F1148D4" wp14:editId="7523B22C">
              <wp:simplePos x="0" y="0"/>
              <wp:positionH relativeFrom="page">
                <wp:posOffset>0</wp:posOffset>
              </wp:positionH>
              <wp:positionV relativeFrom="page">
                <wp:posOffset>10199216</wp:posOffset>
              </wp:positionV>
              <wp:extent cx="7559675" cy="208280"/>
              <wp:effectExtent l="0" t="0" r="3175" b="1270"/>
              <wp:wrapNone/>
              <wp:docPr id="380" name="Tekstbok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59675" cy="208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E21431" w14:textId="77777777" w:rsidR="00C26C34" w:rsidRPr="00227142" w:rsidRDefault="00C26C34" w:rsidP="00C26C34">
                          <w:pPr>
                            <w:pStyle w:val="KNSTBrdtekst"/>
                            <w:jc w:val="center"/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</w:pPr>
                          <w:r w:rsidRPr="0022714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>nergi- &amp;</w:t>
                          </w:r>
                          <w:r w:rsidRPr="0022714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Bygningsrådgivning A/S | Dusager 22 | 8200 Aarhus N | Tel +45 7020 2086 | CVR. nr. 33077831 | info@ebas.dk | www.ebas.dk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1148D4" id="_x0000_t202" coordsize="21600,21600" o:spt="202" path="m,l,21600r21600,l21600,xe">
              <v:stroke joinstyle="miter"/>
              <v:path gradientshapeok="t" o:connecttype="rect"/>
            </v:shapetype>
            <v:shape id="Tekstboks 10" o:spid="_x0000_s1028" type="#_x0000_t202" style="position:absolute;margin-left:0;margin-top:803.1pt;width:595.25pt;height:16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" filled="f" stroked="f" strokeweight=".5pt">
              <v:textbox inset="0,0,0,0">
                <w:txbxContent>
                  <w:p w14:paraId="1DE21431" w14:textId="77777777" w:rsidR="00C26C34" w:rsidRPr="00227142" w:rsidRDefault="00C26C34" w:rsidP="00C26C34">
                    <w:pPr>
                      <w:pStyle w:val="KNSTBrdtekst"/>
                      <w:jc w:val="center"/>
                      <w:rPr>
                        <w:rFonts w:cs="Arial"/>
                        <w:b/>
                        <w:sz w:val="15"/>
                        <w:szCs w:val="15"/>
                      </w:rPr>
                    </w:pPr>
                    <w:r w:rsidRPr="00227142">
                      <w:rPr>
                        <w:rFonts w:cs="Arial"/>
                        <w:b/>
                        <w:sz w:val="15"/>
                        <w:szCs w:val="15"/>
                      </w:rPr>
                      <w:t>E</w:t>
                    </w:r>
                    <w:r>
                      <w:rPr>
                        <w:rFonts w:cs="Arial"/>
                        <w:b/>
                        <w:sz w:val="15"/>
                        <w:szCs w:val="15"/>
                      </w:rPr>
                      <w:t>nergi- &amp;</w:t>
                    </w:r>
                    <w:r w:rsidRPr="0022714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Bygningsrådgivning A/S | Dusager 22 | 8200 Aarhus N | Tel +45 7020 2086 | CVR. nr. 33077831 | info@ebas.dk | www.ebas.dk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85DD6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57734EC" wp14:editId="79363426">
              <wp:simplePos x="0" y="0"/>
              <wp:positionH relativeFrom="page">
                <wp:posOffset>683895</wp:posOffset>
              </wp:positionH>
              <wp:positionV relativeFrom="page">
                <wp:posOffset>9943465</wp:posOffset>
              </wp:positionV>
              <wp:extent cx="954000" cy="266400"/>
              <wp:effectExtent l="0" t="0" r="0" b="635"/>
              <wp:wrapNone/>
              <wp:docPr id="25" name="Tekstboks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4000" cy="26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B1AF31" w14:textId="77777777" w:rsidR="00C60339" w:rsidRPr="00C26C34" w:rsidRDefault="00FC6108" w:rsidP="00C60339">
                          <w:pPr>
                            <w:tabs>
                              <w:tab w:val="right" w:pos="1843"/>
                            </w:tabs>
                            <w:spacing w:line="192" w:lineRule="exac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C26C34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Side </w:t>
                          </w:r>
                          <w:r w:rsidRPr="00C26C34">
                            <w:rPr>
                              <w:rFonts w:cs="Arial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C26C34">
                            <w:rPr>
                              <w:rFonts w:cs="Arial"/>
                              <w:sz w:val="15"/>
                              <w:szCs w:val="15"/>
                            </w:rPr>
                            <w:instrText>PAGE  \* Arabic  \* MERGEFORMAT</w:instrText>
                          </w:r>
                          <w:r w:rsidRPr="00C26C34">
                            <w:rPr>
                              <w:rFonts w:cs="Arial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892DA6">
                            <w:rPr>
                              <w:rFonts w:cs="Arial"/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 w:rsidRPr="00C26C34">
                            <w:rPr>
                              <w:rFonts w:cs="Arial"/>
                              <w:sz w:val="15"/>
                              <w:szCs w:val="15"/>
                            </w:rPr>
                            <w:fldChar w:fldCharType="end"/>
                          </w:r>
                          <w:r w:rsidRPr="00C26C34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af </w:t>
                          </w:r>
                          <w:r w:rsidRPr="00C26C34">
                            <w:rPr>
                              <w:rFonts w:cs="Arial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C26C34">
                            <w:rPr>
                              <w:rFonts w:cs="Arial"/>
                              <w:sz w:val="15"/>
                              <w:szCs w:val="15"/>
                            </w:rPr>
                            <w:instrText>NUMPAGES  \* Arabic  \* MERGEFORMAT</w:instrText>
                          </w:r>
                          <w:r w:rsidRPr="00C26C34">
                            <w:rPr>
                              <w:rFonts w:cs="Arial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892DA6">
                            <w:rPr>
                              <w:rFonts w:cs="Arial"/>
                              <w:noProof/>
                              <w:sz w:val="15"/>
                              <w:szCs w:val="15"/>
                            </w:rPr>
                            <w:t>3</w:t>
                          </w:r>
                          <w:r w:rsidRPr="00C26C34">
                            <w:rPr>
                              <w:rFonts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7734EC" id="Tekstboks 25" o:spid="_x0000_s1029" type="#_x0000_t202" style="position:absolute;margin-left:53.85pt;margin-top:782.95pt;width:75.1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" filled="f" stroked="f" strokeweight=".5pt">
              <v:textbox inset="0">
                <w:txbxContent>
                  <w:p w14:paraId="35B1AF31" w14:textId="77777777" w:rsidR="00C60339" w:rsidRPr="00C26C34" w:rsidRDefault="00FC6108" w:rsidP="00C60339">
                    <w:pPr>
                      <w:tabs>
                        <w:tab w:val="right" w:pos="1843"/>
                      </w:tabs>
                      <w:spacing w:line="192" w:lineRule="exact"/>
                      <w:rPr>
                        <w:rFonts w:cs="Arial"/>
                        <w:sz w:val="15"/>
                        <w:szCs w:val="15"/>
                      </w:rPr>
                    </w:pPr>
                    <w:r w:rsidRPr="00C26C34">
                      <w:rPr>
                        <w:rFonts w:cs="Arial"/>
                        <w:sz w:val="15"/>
                        <w:szCs w:val="15"/>
                      </w:rPr>
                      <w:t xml:space="preserve">Side </w:t>
                    </w:r>
                    <w:r w:rsidRPr="00C26C34">
                      <w:rPr>
                        <w:rFonts w:cs="Arial"/>
                        <w:sz w:val="15"/>
                        <w:szCs w:val="15"/>
                      </w:rPr>
                      <w:fldChar w:fldCharType="begin"/>
                    </w:r>
                    <w:r w:rsidRPr="00C26C34">
                      <w:rPr>
                        <w:rFonts w:cs="Arial"/>
                        <w:sz w:val="15"/>
                        <w:szCs w:val="15"/>
                      </w:rPr>
                      <w:instrText>PAGE  \* Arabic  \* MERGEFORMAT</w:instrText>
                    </w:r>
                    <w:r w:rsidRPr="00C26C34">
                      <w:rPr>
                        <w:rFonts w:cs="Arial"/>
                        <w:sz w:val="15"/>
                        <w:szCs w:val="15"/>
                      </w:rPr>
                      <w:fldChar w:fldCharType="separate"/>
                    </w:r>
                    <w:r w:rsidR="00892DA6">
                      <w:rPr>
                        <w:rFonts w:cs="Arial"/>
                        <w:noProof/>
                        <w:sz w:val="15"/>
                        <w:szCs w:val="15"/>
                      </w:rPr>
                      <w:t>2</w:t>
                    </w:r>
                    <w:r w:rsidRPr="00C26C34">
                      <w:rPr>
                        <w:rFonts w:cs="Arial"/>
                        <w:sz w:val="15"/>
                        <w:szCs w:val="15"/>
                      </w:rPr>
                      <w:fldChar w:fldCharType="end"/>
                    </w:r>
                    <w:r w:rsidRPr="00C26C34">
                      <w:rPr>
                        <w:rFonts w:cs="Arial"/>
                        <w:sz w:val="15"/>
                        <w:szCs w:val="15"/>
                      </w:rPr>
                      <w:t xml:space="preserve"> af </w:t>
                    </w:r>
                    <w:r w:rsidRPr="00C26C34">
                      <w:rPr>
                        <w:rFonts w:cs="Arial"/>
                        <w:sz w:val="15"/>
                        <w:szCs w:val="15"/>
                      </w:rPr>
                      <w:fldChar w:fldCharType="begin"/>
                    </w:r>
                    <w:r w:rsidRPr="00C26C34">
                      <w:rPr>
                        <w:rFonts w:cs="Arial"/>
                        <w:sz w:val="15"/>
                        <w:szCs w:val="15"/>
                      </w:rPr>
                      <w:instrText>NUMPAGES  \* Arabic  \* MERGEFORMAT</w:instrText>
                    </w:r>
                    <w:r w:rsidRPr="00C26C34">
                      <w:rPr>
                        <w:rFonts w:cs="Arial"/>
                        <w:sz w:val="15"/>
                        <w:szCs w:val="15"/>
                      </w:rPr>
                      <w:fldChar w:fldCharType="separate"/>
                    </w:r>
                    <w:r w:rsidR="00892DA6">
                      <w:rPr>
                        <w:rFonts w:cs="Arial"/>
                        <w:noProof/>
                        <w:sz w:val="15"/>
                        <w:szCs w:val="15"/>
                      </w:rPr>
                      <w:t>3</w:t>
                    </w:r>
                    <w:r w:rsidRPr="00C26C34">
                      <w:rPr>
                        <w:rFonts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B19E" w14:textId="77777777" w:rsidR="000C2082" w:rsidRDefault="00044A20" w:rsidP="00044A20">
    <w:pPr>
      <w:pStyle w:val="Sidefod"/>
      <w:ind w:left="-1134"/>
    </w:pPr>
    <w:r w:rsidRPr="00896B22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3FFFA9BE" wp14:editId="4E1FA1D5">
              <wp:simplePos x="0" y="0"/>
              <wp:positionH relativeFrom="page">
                <wp:posOffset>0</wp:posOffset>
              </wp:positionH>
              <wp:positionV relativeFrom="page">
                <wp:posOffset>10126345</wp:posOffset>
              </wp:positionV>
              <wp:extent cx="7559675" cy="208280"/>
              <wp:effectExtent l="0" t="0" r="3175" b="1270"/>
              <wp:wrapNone/>
              <wp:docPr id="5" name="Tekstbok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59675" cy="208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03F571" w14:textId="77777777" w:rsidR="00044A20" w:rsidRPr="00336EE7" w:rsidRDefault="00044A20" w:rsidP="00044A20">
                          <w:pPr>
                            <w:pStyle w:val="KNSTBrdtekst"/>
                            <w:jc w:val="center"/>
                            <w:rPr>
                              <w:rFonts w:cstheme="minorHAnsi"/>
                              <w:b/>
                              <w:sz w:val="15"/>
                              <w:szCs w:val="15"/>
                            </w:rPr>
                          </w:pPr>
                          <w:r w:rsidRPr="00336EE7">
                            <w:rPr>
                              <w:rFonts w:cstheme="minorHAnsi"/>
                              <w:b/>
                              <w:sz w:val="15"/>
                              <w:szCs w:val="15"/>
                            </w:rPr>
                            <w:t>Energi- &amp; Bygningsrådgivning A/S | Dusager 22 | 8200 Aarhus N | Tel +45 7020 2086 | CVR. nr. 33077831 | info@ebas.dk | www.ebas.dk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FA9B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0;margin-top:797.35pt;width:595.25pt;height:16.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" filled="f" stroked="f" strokeweight=".5pt">
              <v:textbox inset="0,0,0,0">
                <w:txbxContent>
                  <w:p w14:paraId="5603F571" w14:textId="77777777" w:rsidR="00044A20" w:rsidRPr="00336EE7" w:rsidRDefault="00044A20" w:rsidP="00044A20">
                    <w:pPr>
                      <w:pStyle w:val="KNSTBrdtekst"/>
                      <w:jc w:val="center"/>
                      <w:rPr>
                        <w:rFonts w:cstheme="minorHAnsi"/>
                        <w:b/>
                        <w:sz w:val="15"/>
                        <w:szCs w:val="15"/>
                      </w:rPr>
                    </w:pPr>
                    <w:r w:rsidRPr="00336EE7">
                      <w:rPr>
                        <w:rFonts w:cstheme="minorHAnsi"/>
                        <w:b/>
                        <w:sz w:val="15"/>
                        <w:szCs w:val="15"/>
                      </w:rPr>
                      <w:t>Energi- &amp; Bygningsrådgivning A/S | Dusager 22 | 8200 Aarhus N | Tel +45 7020 2086 | CVR. nr. 33077831 | info@ebas.dk | www.ebas.dk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BED93" w14:textId="77777777" w:rsidR="009E2CA2" w:rsidRDefault="009E2CA2" w:rsidP="00867C79">
      <w:r>
        <w:separator/>
      </w:r>
    </w:p>
  </w:footnote>
  <w:footnote w:type="continuationSeparator" w:id="0">
    <w:p w14:paraId="02B61BE9" w14:textId="77777777" w:rsidR="009E2CA2" w:rsidRDefault="009E2CA2" w:rsidP="00867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9D29" w14:textId="77777777" w:rsidR="00D64E0F" w:rsidRDefault="00DB36EA" w:rsidP="00DB36EA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77696" behindDoc="1" locked="0" layoutInCell="1" allowOverlap="1" wp14:anchorId="2F7B7DBB" wp14:editId="2F934660">
          <wp:simplePos x="0" y="0"/>
          <wp:positionH relativeFrom="column">
            <wp:posOffset>4375150</wp:posOffset>
          </wp:positionH>
          <wp:positionV relativeFrom="page">
            <wp:posOffset>548640</wp:posOffset>
          </wp:positionV>
          <wp:extent cx="1922400" cy="720000"/>
          <wp:effectExtent l="0" t="0" r="1905" b="4445"/>
          <wp:wrapTight wrapText="bothSides">
            <wp:wrapPolygon edited="0">
              <wp:start x="0" y="0"/>
              <wp:lineTo x="0" y="21162"/>
              <wp:lineTo x="21407" y="21162"/>
              <wp:lineTo x="21407" y="0"/>
              <wp:lineTo x="0" y="0"/>
            </wp:wrapPolygon>
          </wp:wrapTight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BAS_Logo_Uddyb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2.65pt;height:119.55pt" o:bullet="t">
        <v:imagedata r:id="rId1" o:title="Image1"/>
      </v:shape>
    </w:pict>
  </w:numPicBullet>
  <w:numPicBullet w:numPicBulletId="1">
    <w:pict>
      <v:shape w14:anchorId="32083FF5" id="_x0000_i1027" type="#_x0000_t75" style="width:183.4pt;height:158.95pt" o:bullet="t">
        <v:imagedata r:id="rId2" o:title="Image1"/>
      </v:shape>
    </w:pict>
  </w:numPicBullet>
  <w:numPicBullet w:numPicBulletId="2">
    <w:pict>
      <v:shape w14:anchorId="35B38C5A" id="_x0000_i1028" type="#_x0000_t75" style="width:222.8pt;height:199pt" o:bullet="t">
        <v:imagedata r:id="rId3" o:title="bullet1"/>
      </v:shape>
    </w:pict>
  </w:numPicBullet>
  <w:numPicBullet w:numPicBulletId="3">
    <w:pict>
      <v:shape id="_x0000_i1029" type="#_x0000_t75" style="width:243.15pt;height:218.7pt" o:bullet="t">
        <v:imagedata r:id="rId4" o:title="bullet2"/>
      </v:shape>
    </w:pict>
  </w:numPicBullet>
  <w:numPicBullet w:numPicBulletId="4">
    <w:pict>
      <v:shape id="_x0000_i1030" type="#_x0000_t75" style="width:262.85pt;height:239.1pt" o:bullet="t">
        <v:imagedata r:id="rId5" o:title="bullet2"/>
      </v:shape>
    </w:pict>
  </w:numPicBullet>
  <w:numPicBullet w:numPicBulletId="5">
    <w:pict>
      <v:shape id="_x0000_i1031" type="#_x0000_t75" style="width:262.85pt;height:239.1pt" o:bullet="t">
        <v:imagedata r:id="rId6" o:title="bullet_grey"/>
      </v:shape>
    </w:pict>
  </w:numPicBullet>
  <w:abstractNum w:abstractNumId="0" w15:restartNumberingAfterBreak="0">
    <w:nsid w:val="2659606E"/>
    <w:multiLevelType w:val="hybridMultilevel"/>
    <w:tmpl w:val="702CB8BE"/>
    <w:lvl w:ilvl="0" w:tplc="4112DC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A09D4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A871B26"/>
    <w:multiLevelType w:val="hybridMultilevel"/>
    <w:tmpl w:val="F492509C"/>
    <w:lvl w:ilvl="0" w:tplc="5D52A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601DA"/>
    <w:multiLevelType w:val="multilevel"/>
    <w:tmpl w:val="19F2BB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2C70786"/>
    <w:multiLevelType w:val="multilevel"/>
    <w:tmpl w:val="AA9E06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C5308B"/>
    <w:multiLevelType w:val="hybridMultilevel"/>
    <w:tmpl w:val="F956F256"/>
    <w:lvl w:ilvl="0" w:tplc="DBCCCFF6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27065"/>
    <w:multiLevelType w:val="multilevel"/>
    <w:tmpl w:val="33768736"/>
    <w:lvl w:ilvl="0">
      <w:start w:val="1"/>
      <w:numFmt w:val="bullet"/>
      <w:pStyle w:val="Listeafsnit"/>
      <w:lvlText w:val=""/>
      <w:lvlJc w:val="left"/>
      <w:pPr>
        <w:ind w:left="615" w:hanging="360"/>
      </w:pPr>
      <w:rPr>
        <w:rFonts w:ascii="Wingdings 2" w:hAnsi="Wingdings 2" w:hint="default"/>
        <w:color w:val="288E6D"/>
      </w:rPr>
    </w:lvl>
    <w:lvl w:ilvl="1">
      <w:start w:val="1"/>
      <w:numFmt w:val="bullet"/>
      <w:lvlText w:val="o"/>
      <w:lvlJc w:val="left"/>
      <w:pPr>
        <w:ind w:left="856" w:hanging="30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7" w15:restartNumberingAfterBreak="0">
    <w:nsid w:val="5FAD4817"/>
    <w:multiLevelType w:val="hybridMultilevel"/>
    <w:tmpl w:val="294EF24A"/>
    <w:lvl w:ilvl="0" w:tplc="EAAAF9CC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D3D0F"/>
    <w:multiLevelType w:val="multilevel"/>
    <w:tmpl w:val="B088C398"/>
    <w:lvl w:ilvl="0">
      <w:start w:val="1"/>
      <w:numFmt w:val="decimal"/>
      <w:pStyle w:val="2Overskrift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3Mellemrubrik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87D1318"/>
    <w:multiLevelType w:val="hybridMultilevel"/>
    <w:tmpl w:val="52C85E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79A0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E0"/>
    <w:rsid w:val="00007C92"/>
    <w:rsid w:val="000127C1"/>
    <w:rsid w:val="00020E06"/>
    <w:rsid w:val="00032DB9"/>
    <w:rsid w:val="00034A06"/>
    <w:rsid w:val="00037585"/>
    <w:rsid w:val="0003760A"/>
    <w:rsid w:val="0004193E"/>
    <w:rsid w:val="00044A20"/>
    <w:rsid w:val="00054D3A"/>
    <w:rsid w:val="00056C47"/>
    <w:rsid w:val="00061E40"/>
    <w:rsid w:val="0006325C"/>
    <w:rsid w:val="0006686E"/>
    <w:rsid w:val="00073455"/>
    <w:rsid w:val="00074680"/>
    <w:rsid w:val="00086CC2"/>
    <w:rsid w:val="000959F7"/>
    <w:rsid w:val="000A117A"/>
    <w:rsid w:val="000B3224"/>
    <w:rsid w:val="000C0BD6"/>
    <w:rsid w:val="000C1F26"/>
    <w:rsid w:val="000C2082"/>
    <w:rsid w:val="000C5885"/>
    <w:rsid w:val="000E45F2"/>
    <w:rsid w:val="001003DF"/>
    <w:rsid w:val="00100B61"/>
    <w:rsid w:val="0010339B"/>
    <w:rsid w:val="00110DD4"/>
    <w:rsid w:val="00117370"/>
    <w:rsid w:val="001255B5"/>
    <w:rsid w:val="001269A5"/>
    <w:rsid w:val="00127CE8"/>
    <w:rsid w:val="00127D5F"/>
    <w:rsid w:val="00137220"/>
    <w:rsid w:val="00140661"/>
    <w:rsid w:val="00143610"/>
    <w:rsid w:val="001474DB"/>
    <w:rsid w:val="00150C44"/>
    <w:rsid w:val="001604BC"/>
    <w:rsid w:val="001668C3"/>
    <w:rsid w:val="00166E58"/>
    <w:rsid w:val="0017717C"/>
    <w:rsid w:val="00177E4D"/>
    <w:rsid w:val="00180EB8"/>
    <w:rsid w:val="0018489E"/>
    <w:rsid w:val="00185E65"/>
    <w:rsid w:val="00186EEC"/>
    <w:rsid w:val="00190AA6"/>
    <w:rsid w:val="001B14A6"/>
    <w:rsid w:val="001B3904"/>
    <w:rsid w:val="001B6DAC"/>
    <w:rsid w:val="001C0E46"/>
    <w:rsid w:val="001D2E76"/>
    <w:rsid w:val="001D64C2"/>
    <w:rsid w:val="001E4D49"/>
    <w:rsid w:val="001E6121"/>
    <w:rsid w:val="002109F1"/>
    <w:rsid w:val="002138B2"/>
    <w:rsid w:val="00217062"/>
    <w:rsid w:val="00220385"/>
    <w:rsid w:val="00223CAE"/>
    <w:rsid w:val="00224185"/>
    <w:rsid w:val="00226DDB"/>
    <w:rsid w:val="00227443"/>
    <w:rsid w:val="00230932"/>
    <w:rsid w:val="00231BF3"/>
    <w:rsid w:val="00236E6B"/>
    <w:rsid w:val="00245EE5"/>
    <w:rsid w:val="0025689C"/>
    <w:rsid w:val="00264247"/>
    <w:rsid w:val="00264F28"/>
    <w:rsid w:val="00274C73"/>
    <w:rsid w:val="002768A7"/>
    <w:rsid w:val="002801DD"/>
    <w:rsid w:val="002878F5"/>
    <w:rsid w:val="00294222"/>
    <w:rsid w:val="002A011E"/>
    <w:rsid w:val="002A2F34"/>
    <w:rsid w:val="002A5F71"/>
    <w:rsid w:val="002A7032"/>
    <w:rsid w:val="002B01BE"/>
    <w:rsid w:val="002B5E15"/>
    <w:rsid w:val="002C1CA1"/>
    <w:rsid w:val="002C482F"/>
    <w:rsid w:val="002D67F9"/>
    <w:rsid w:val="002E1719"/>
    <w:rsid w:val="002F0211"/>
    <w:rsid w:val="00313BC7"/>
    <w:rsid w:val="0032084A"/>
    <w:rsid w:val="003230BF"/>
    <w:rsid w:val="003343BA"/>
    <w:rsid w:val="00334F3B"/>
    <w:rsid w:val="00336EE7"/>
    <w:rsid w:val="00345D3C"/>
    <w:rsid w:val="00352F9B"/>
    <w:rsid w:val="0036133C"/>
    <w:rsid w:val="00370A83"/>
    <w:rsid w:val="003816A4"/>
    <w:rsid w:val="003820D8"/>
    <w:rsid w:val="00387BAF"/>
    <w:rsid w:val="0039012B"/>
    <w:rsid w:val="003918F6"/>
    <w:rsid w:val="003C0358"/>
    <w:rsid w:val="003D0F41"/>
    <w:rsid w:val="003D2636"/>
    <w:rsid w:val="003D2F07"/>
    <w:rsid w:val="003E013B"/>
    <w:rsid w:val="003E09D9"/>
    <w:rsid w:val="003E63D6"/>
    <w:rsid w:val="003F2F0F"/>
    <w:rsid w:val="003F5B30"/>
    <w:rsid w:val="00412B7C"/>
    <w:rsid w:val="00412EC0"/>
    <w:rsid w:val="0044209C"/>
    <w:rsid w:val="00443CCC"/>
    <w:rsid w:val="00447036"/>
    <w:rsid w:val="00447C73"/>
    <w:rsid w:val="004517D2"/>
    <w:rsid w:val="00455707"/>
    <w:rsid w:val="00463422"/>
    <w:rsid w:val="00464562"/>
    <w:rsid w:val="00464C7D"/>
    <w:rsid w:val="00470503"/>
    <w:rsid w:val="00473CD5"/>
    <w:rsid w:val="00475FD2"/>
    <w:rsid w:val="004848FE"/>
    <w:rsid w:val="00486274"/>
    <w:rsid w:val="004872C7"/>
    <w:rsid w:val="00493A43"/>
    <w:rsid w:val="00493D6D"/>
    <w:rsid w:val="004B0A24"/>
    <w:rsid w:val="004E22FA"/>
    <w:rsid w:val="0050202C"/>
    <w:rsid w:val="005036B4"/>
    <w:rsid w:val="005045B4"/>
    <w:rsid w:val="00504F8A"/>
    <w:rsid w:val="005205D8"/>
    <w:rsid w:val="00521E4A"/>
    <w:rsid w:val="00527F82"/>
    <w:rsid w:val="005336F9"/>
    <w:rsid w:val="0054227F"/>
    <w:rsid w:val="00556014"/>
    <w:rsid w:val="005570BC"/>
    <w:rsid w:val="00566617"/>
    <w:rsid w:val="0057442F"/>
    <w:rsid w:val="005754CE"/>
    <w:rsid w:val="00592982"/>
    <w:rsid w:val="00593AE0"/>
    <w:rsid w:val="005A31C7"/>
    <w:rsid w:val="005B5BD4"/>
    <w:rsid w:val="005C1F04"/>
    <w:rsid w:val="005C597B"/>
    <w:rsid w:val="005C79D1"/>
    <w:rsid w:val="005D02AD"/>
    <w:rsid w:val="005D6ADB"/>
    <w:rsid w:val="006108CA"/>
    <w:rsid w:val="00612539"/>
    <w:rsid w:val="00620666"/>
    <w:rsid w:val="00621674"/>
    <w:rsid w:val="006276D6"/>
    <w:rsid w:val="0063560C"/>
    <w:rsid w:val="00654FDE"/>
    <w:rsid w:val="00661C96"/>
    <w:rsid w:val="00687C65"/>
    <w:rsid w:val="00692FCE"/>
    <w:rsid w:val="00694DF0"/>
    <w:rsid w:val="00694F09"/>
    <w:rsid w:val="00696B51"/>
    <w:rsid w:val="006A2587"/>
    <w:rsid w:val="006C4C96"/>
    <w:rsid w:val="006D2A48"/>
    <w:rsid w:val="006D7BF5"/>
    <w:rsid w:val="006E42AC"/>
    <w:rsid w:val="006E4D0F"/>
    <w:rsid w:val="006F34C6"/>
    <w:rsid w:val="006F6F88"/>
    <w:rsid w:val="006F76F5"/>
    <w:rsid w:val="00702B54"/>
    <w:rsid w:val="00703848"/>
    <w:rsid w:val="00712ACD"/>
    <w:rsid w:val="0071543B"/>
    <w:rsid w:val="007160F2"/>
    <w:rsid w:val="007211ED"/>
    <w:rsid w:val="00722499"/>
    <w:rsid w:val="0072276F"/>
    <w:rsid w:val="007257BE"/>
    <w:rsid w:val="00726B7C"/>
    <w:rsid w:val="00727C1C"/>
    <w:rsid w:val="00735D7B"/>
    <w:rsid w:val="00741DC9"/>
    <w:rsid w:val="00742E16"/>
    <w:rsid w:val="0075038D"/>
    <w:rsid w:val="00750741"/>
    <w:rsid w:val="007525FE"/>
    <w:rsid w:val="007614C2"/>
    <w:rsid w:val="00771641"/>
    <w:rsid w:val="00774448"/>
    <w:rsid w:val="00781903"/>
    <w:rsid w:val="0078250C"/>
    <w:rsid w:val="00794EDD"/>
    <w:rsid w:val="00795EA5"/>
    <w:rsid w:val="007A273B"/>
    <w:rsid w:val="007A3754"/>
    <w:rsid w:val="007A62AD"/>
    <w:rsid w:val="007B5E98"/>
    <w:rsid w:val="007C025E"/>
    <w:rsid w:val="007C02AD"/>
    <w:rsid w:val="007E010D"/>
    <w:rsid w:val="007E5EF2"/>
    <w:rsid w:val="007E76F7"/>
    <w:rsid w:val="007F0A3A"/>
    <w:rsid w:val="00803405"/>
    <w:rsid w:val="008233D5"/>
    <w:rsid w:val="008325D4"/>
    <w:rsid w:val="00834DD7"/>
    <w:rsid w:val="008350FA"/>
    <w:rsid w:val="00836D7D"/>
    <w:rsid w:val="0084191D"/>
    <w:rsid w:val="00850B81"/>
    <w:rsid w:val="0085315C"/>
    <w:rsid w:val="00867C79"/>
    <w:rsid w:val="00871B87"/>
    <w:rsid w:val="00874272"/>
    <w:rsid w:val="00877728"/>
    <w:rsid w:val="00892DA6"/>
    <w:rsid w:val="008A11AA"/>
    <w:rsid w:val="008C2318"/>
    <w:rsid w:val="008C374E"/>
    <w:rsid w:val="008D10F3"/>
    <w:rsid w:val="008D3080"/>
    <w:rsid w:val="008D7CA1"/>
    <w:rsid w:val="00903026"/>
    <w:rsid w:val="00914D4F"/>
    <w:rsid w:val="00942B40"/>
    <w:rsid w:val="00942F59"/>
    <w:rsid w:val="0094576D"/>
    <w:rsid w:val="0095785D"/>
    <w:rsid w:val="009618F9"/>
    <w:rsid w:val="00964714"/>
    <w:rsid w:val="00980EB8"/>
    <w:rsid w:val="00990BFD"/>
    <w:rsid w:val="009938D1"/>
    <w:rsid w:val="00995D0C"/>
    <w:rsid w:val="009A5C4B"/>
    <w:rsid w:val="009B60A9"/>
    <w:rsid w:val="009C2184"/>
    <w:rsid w:val="009D6313"/>
    <w:rsid w:val="009E2CA2"/>
    <w:rsid w:val="009F26FD"/>
    <w:rsid w:val="009F5357"/>
    <w:rsid w:val="00A017F4"/>
    <w:rsid w:val="00A06569"/>
    <w:rsid w:val="00A23D14"/>
    <w:rsid w:val="00A25DC2"/>
    <w:rsid w:val="00A3492A"/>
    <w:rsid w:val="00A41909"/>
    <w:rsid w:val="00A45920"/>
    <w:rsid w:val="00A52CA0"/>
    <w:rsid w:val="00A57ACF"/>
    <w:rsid w:val="00A84CC2"/>
    <w:rsid w:val="00A85DD6"/>
    <w:rsid w:val="00A905CA"/>
    <w:rsid w:val="00AA6101"/>
    <w:rsid w:val="00AA6688"/>
    <w:rsid w:val="00AB39BF"/>
    <w:rsid w:val="00AB5798"/>
    <w:rsid w:val="00AB7A02"/>
    <w:rsid w:val="00AD4168"/>
    <w:rsid w:val="00AF401C"/>
    <w:rsid w:val="00B04B55"/>
    <w:rsid w:val="00B05C00"/>
    <w:rsid w:val="00B121B1"/>
    <w:rsid w:val="00B25407"/>
    <w:rsid w:val="00B27809"/>
    <w:rsid w:val="00B32263"/>
    <w:rsid w:val="00B37F31"/>
    <w:rsid w:val="00B40B83"/>
    <w:rsid w:val="00B54955"/>
    <w:rsid w:val="00B56D7D"/>
    <w:rsid w:val="00B5778E"/>
    <w:rsid w:val="00B66431"/>
    <w:rsid w:val="00B72282"/>
    <w:rsid w:val="00B97C41"/>
    <w:rsid w:val="00BB1A8D"/>
    <w:rsid w:val="00BB33D8"/>
    <w:rsid w:val="00BD4CE6"/>
    <w:rsid w:val="00BD669B"/>
    <w:rsid w:val="00BE1DFE"/>
    <w:rsid w:val="00BF193C"/>
    <w:rsid w:val="00BF4627"/>
    <w:rsid w:val="00C06B05"/>
    <w:rsid w:val="00C07A0A"/>
    <w:rsid w:val="00C07AB2"/>
    <w:rsid w:val="00C20A7A"/>
    <w:rsid w:val="00C20D65"/>
    <w:rsid w:val="00C21130"/>
    <w:rsid w:val="00C23284"/>
    <w:rsid w:val="00C246C5"/>
    <w:rsid w:val="00C25E57"/>
    <w:rsid w:val="00C26C34"/>
    <w:rsid w:val="00C34358"/>
    <w:rsid w:val="00C36D69"/>
    <w:rsid w:val="00C401F0"/>
    <w:rsid w:val="00C46428"/>
    <w:rsid w:val="00C51A6B"/>
    <w:rsid w:val="00C5324B"/>
    <w:rsid w:val="00C5485A"/>
    <w:rsid w:val="00C55F37"/>
    <w:rsid w:val="00C60339"/>
    <w:rsid w:val="00C62860"/>
    <w:rsid w:val="00C90A1F"/>
    <w:rsid w:val="00C93055"/>
    <w:rsid w:val="00CA4820"/>
    <w:rsid w:val="00CA5E24"/>
    <w:rsid w:val="00CA7D9B"/>
    <w:rsid w:val="00CB0255"/>
    <w:rsid w:val="00CB1CFC"/>
    <w:rsid w:val="00CB37A8"/>
    <w:rsid w:val="00CC595F"/>
    <w:rsid w:val="00CE1DD4"/>
    <w:rsid w:val="00CE69DD"/>
    <w:rsid w:val="00CF58D4"/>
    <w:rsid w:val="00D07024"/>
    <w:rsid w:val="00D11CAF"/>
    <w:rsid w:val="00D61014"/>
    <w:rsid w:val="00D629C2"/>
    <w:rsid w:val="00D63204"/>
    <w:rsid w:val="00D64E0F"/>
    <w:rsid w:val="00D7222F"/>
    <w:rsid w:val="00D75D5E"/>
    <w:rsid w:val="00D802FD"/>
    <w:rsid w:val="00D868D1"/>
    <w:rsid w:val="00D934CD"/>
    <w:rsid w:val="00DA7B7F"/>
    <w:rsid w:val="00DB36EA"/>
    <w:rsid w:val="00DB3A74"/>
    <w:rsid w:val="00DC1D9F"/>
    <w:rsid w:val="00DD251D"/>
    <w:rsid w:val="00DF2472"/>
    <w:rsid w:val="00E06F96"/>
    <w:rsid w:val="00E16867"/>
    <w:rsid w:val="00E16D43"/>
    <w:rsid w:val="00E35976"/>
    <w:rsid w:val="00E36EFA"/>
    <w:rsid w:val="00E37FAF"/>
    <w:rsid w:val="00E52832"/>
    <w:rsid w:val="00E613A8"/>
    <w:rsid w:val="00E61EDD"/>
    <w:rsid w:val="00E66530"/>
    <w:rsid w:val="00E8187A"/>
    <w:rsid w:val="00E84B09"/>
    <w:rsid w:val="00E95F08"/>
    <w:rsid w:val="00E95F96"/>
    <w:rsid w:val="00EA5128"/>
    <w:rsid w:val="00EA6547"/>
    <w:rsid w:val="00EA7ADF"/>
    <w:rsid w:val="00EB0F72"/>
    <w:rsid w:val="00EB7EEF"/>
    <w:rsid w:val="00EE4DFE"/>
    <w:rsid w:val="00F1217C"/>
    <w:rsid w:val="00F3612C"/>
    <w:rsid w:val="00F40785"/>
    <w:rsid w:val="00F43389"/>
    <w:rsid w:val="00F74083"/>
    <w:rsid w:val="00F83E25"/>
    <w:rsid w:val="00F83EBC"/>
    <w:rsid w:val="00F85DCB"/>
    <w:rsid w:val="00F902DF"/>
    <w:rsid w:val="00FA371F"/>
    <w:rsid w:val="00FA5701"/>
    <w:rsid w:val="00FB5FFA"/>
    <w:rsid w:val="00FC2177"/>
    <w:rsid w:val="00FC6108"/>
    <w:rsid w:val="00FD0694"/>
    <w:rsid w:val="00FD0C59"/>
    <w:rsid w:val="00FD1480"/>
    <w:rsid w:val="00FD21C3"/>
    <w:rsid w:val="00FD2753"/>
    <w:rsid w:val="00FD35EE"/>
    <w:rsid w:val="00FD39BE"/>
    <w:rsid w:val="00FE3CA2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536F9"/>
  <w15:docId w15:val="{91D022DF-CA12-4FEF-A512-2F8A3013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 Brødtekst"/>
    <w:qFormat/>
    <w:rsid w:val="00336EE7"/>
    <w:pPr>
      <w:spacing w:after="0"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A011E"/>
    <w:pPr>
      <w:keepNext/>
      <w:keepLines/>
      <w:spacing w:after="120"/>
      <w:outlineLvl w:val="0"/>
    </w:pPr>
    <w:rPr>
      <w:rFonts w:eastAsiaTheme="majorEastAsia" w:cstheme="majorBidi"/>
      <w:b/>
      <w:bCs/>
      <w:color w:val="001A5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41DC9"/>
    <w:pPr>
      <w:keepNext/>
      <w:keepLines/>
      <w:outlineLvl w:val="1"/>
    </w:pPr>
    <w:rPr>
      <w:rFonts w:eastAsiaTheme="majorEastAsia" w:cstheme="majorBidi"/>
      <w:b/>
      <w:bCs/>
      <w:color w:val="288E6D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A011E"/>
    <w:pPr>
      <w:keepNext/>
      <w:keepLines/>
      <w:outlineLvl w:val="2"/>
    </w:pPr>
    <w:rPr>
      <w:rFonts w:eastAsiaTheme="majorEastAsia" w:cstheme="majorBidi"/>
      <w:b/>
      <w:bCs/>
      <w:color w:val="001A50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E63D6"/>
    <w:pPr>
      <w:keepNext/>
      <w:keepLines/>
      <w:numPr>
        <w:ilvl w:val="3"/>
        <w:numId w:val="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D75D5E"/>
    <w:pPr>
      <w:keepNext/>
      <w:keepLines/>
      <w:numPr>
        <w:ilvl w:val="4"/>
        <w:numId w:val="7"/>
      </w:numPr>
      <w:spacing w:after="200" w:line="276" w:lineRule="auto"/>
      <w:ind w:left="1009" w:hanging="1009"/>
      <w:outlineLvl w:val="4"/>
    </w:pPr>
    <w:rPr>
      <w:rFonts w:eastAsiaTheme="majorEastAsia" w:cstheme="majorBidi"/>
      <w:b/>
      <w:color w:val="6A953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1003DF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003DF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003DF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003DF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7C7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67C79"/>
  </w:style>
  <w:style w:type="paragraph" w:styleId="Sidefod">
    <w:name w:val="footer"/>
    <w:basedOn w:val="Normal"/>
    <w:link w:val="SidefodTegn"/>
    <w:uiPriority w:val="99"/>
    <w:unhideWhenUsed/>
    <w:rsid w:val="00867C7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67C7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62AD"/>
    <w:rPr>
      <w:rFonts w:ascii="Tahoma" w:hAnsi="Tahom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62AD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A011E"/>
    <w:rPr>
      <w:rFonts w:eastAsiaTheme="majorEastAsia" w:cstheme="majorBidi"/>
      <w:b/>
      <w:bCs/>
      <w:color w:val="001A50"/>
      <w:sz w:val="32"/>
      <w:szCs w:val="32"/>
    </w:rPr>
  </w:style>
  <w:style w:type="table" w:styleId="Tabel-Gitter">
    <w:name w:val="Table Grid"/>
    <w:basedOn w:val="Tabel-Normal"/>
    <w:rsid w:val="00E61EDD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 w:themeColor="background1"/>
        <w:sz w:val="16"/>
      </w:rPr>
      <w:tblPr/>
      <w:tcPr>
        <w:shd w:val="clear" w:color="auto" w:fill="505050"/>
        <w:vAlign w:val="center"/>
      </w:tcPr>
    </w:tblStylePr>
  </w:style>
  <w:style w:type="paragraph" w:styleId="Listeafsnit">
    <w:name w:val="List Paragraph"/>
    <w:aliases w:val="4 Listeafsnit,Punktliste"/>
    <w:basedOn w:val="Normal"/>
    <w:link w:val="ListeafsnitTegn"/>
    <w:uiPriority w:val="34"/>
    <w:qFormat/>
    <w:rsid w:val="003E63D6"/>
    <w:pPr>
      <w:numPr>
        <w:numId w:val="3"/>
      </w:numPr>
      <w:ind w:left="1094" w:hanging="357"/>
      <w:contextualSpacing/>
    </w:pPr>
  </w:style>
  <w:style w:type="paragraph" w:styleId="Overskrift">
    <w:name w:val="TOC Heading"/>
    <w:basedOn w:val="Overskrift1"/>
    <w:next w:val="Normal"/>
    <w:uiPriority w:val="39"/>
    <w:unhideWhenUsed/>
    <w:rsid w:val="00110DD4"/>
    <w:pPr>
      <w:spacing w:before="480"/>
      <w:outlineLvl w:val="9"/>
    </w:pPr>
    <w:rPr>
      <w:rFonts w:asciiTheme="majorHAnsi" w:hAnsiTheme="majorHAnsi"/>
      <w:color w:val="365F91" w:themeColor="accent1" w:themeShade="BF"/>
      <w:sz w:val="28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054D3A"/>
    <w:pPr>
      <w:tabs>
        <w:tab w:val="left" w:pos="284"/>
        <w:tab w:val="right" w:pos="8647"/>
      </w:tabs>
    </w:pPr>
  </w:style>
  <w:style w:type="paragraph" w:customStyle="1" w:styleId="Overskrift20">
    <w:name w:val="Overskrift  2"/>
    <w:basedOn w:val="Overskrift1"/>
    <w:next w:val="Normal"/>
    <w:rsid w:val="00150C44"/>
    <w:pPr>
      <w:framePr w:wrap="around" w:hAnchor="text"/>
    </w:pPr>
    <w:rPr>
      <w:noProof/>
      <w:lang w:eastAsia="da-DK"/>
    </w:rPr>
  </w:style>
  <w:style w:type="paragraph" w:customStyle="1" w:styleId="2Overskrift">
    <w:name w:val="2 Overskrift"/>
    <w:basedOn w:val="Overskrift20"/>
    <w:next w:val="Normal"/>
    <w:rsid w:val="00D7222F"/>
    <w:pPr>
      <w:framePr w:wrap="auto"/>
      <w:numPr>
        <w:numId w:val="8"/>
      </w:numPr>
      <w:spacing w:after="240"/>
      <w:ind w:left="431" w:hanging="431"/>
    </w:pPr>
  </w:style>
  <w:style w:type="paragraph" w:customStyle="1" w:styleId="3Mellemrubrik">
    <w:name w:val="3 Mellemrubrik"/>
    <w:basedOn w:val="Normal"/>
    <w:next w:val="Normal"/>
    <w:rsid w:val="00CB1CFC"/>
    <w:pPr>
      <w:numPr>
        <w:ilvl w:val="1"/>
        <w:numId w:val="8"/>
      </w:numPr>
    </w:pPr>
    <w:rPr>
      <w:b/>
      <w:color w:val="E36F1E"/>
    </w:rPr>
  </w:style>
  <w:style w:type="paragraph" w:styleId="Indholdsfortegnelse2">
    <w:name w:val="toc 2"/>
    <w:basedOn w:val="Indholdsfortegnelse1"/>
    <w:next w:val="Normal"/>
    <w:autoRedefine/>
    <w:uiPriority w:val="39"/>
    <w:unhideWhenUsed/>
    <w:rsid w:val="00054D3A"/>
    <w:pPr>
      <w:tabs>
        <w:tab w:val="clear" w:pos="284"/>
        <w:tab w:val="left" w:pos="709"/>
      </w:tabs>
      <w:ind w:left="284"/>
    </w:pPr>
  </w:style>
  <w:style w:type="character" w:styleId="Hyperlink">
    <w:name w:val="Hyperlink"/>
    <w:basedOn w:val="Standardskrifttypeiafsnit"/>
    <w:uiPriority w:val="99"/>
    <w:unhideWhenUsed/>
    <w:rsid w:val="00A06569"/>
    <w:rPr>
      <w:color w:val="0000FF" w:themeColor="hyperlink"/>
      <w:u w:val="single"/>
    </w:rPr>
  </w:style>
  <w:style w:type="paragraph" w:styleId="Indholdsfortegnelse3">
    <w:name w:val="toc 3"/>
    <w:basedOn w:val="Indholdsfortegnelse1"/>
    <w:next w:val="Normal"/>
    <w:autoRedefine/>
    <w:uiPriority w:val="39"/>
    <w:unhideWhenUsed/>
    <w:rsid w:val="00054D3A"/>
    <w:pPr>
      <w:tabs>
        <w:tab w:val="clear" w:pos="284"/>
        <w:tab w:val="left" w:pos="1276"/>
      </w:tabs>
      <w:ind w:left="709"/>
    </w:pPr>
    <w:rPr>
      <w:rFonts w:eastAsiaTheme="minorEastAsia"/>
      <w:noProof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41DC9"/>
    <w:rPr>
      <w:rFonts w:eastAsiaTheme="majorEastAsia" w:cstheme="majorBidi"/>
      <w:b/>
      <w:bCs/>
      <w:color w:val="288E6D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A011E"/>
    <w:rPr>
      <w:rFonts w:eastAsiaTheme="majorEastAsia" w:cstheme="majorBidi"/>
      <w:b/>
      <w:bCs/>
      <w:color w:val="001A50"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63D6"/>
    <w:rPr>
      <w:rFonts w:eastAsiaTheme="majorEastAsia" w:cstheme="majorBidi"/>
      <w:b/>
      <w:bCs/>
      <w:iCs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D75D5E"/>
    <w:rPr>
      <w:rFonts w:ascii="Arial" w:eastAsiaTheme="majorEastAsia" w:hAnsi="Arial" w:cstheme="majorBidi"/>
      <w:b/>
      <w:color w:val="6A9530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003DF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003DF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003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003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holdsfortegnelse4">
    <w:name w:val="toc 4"/>
    <w:basedOn w:val="Indholdsfortegnelse1"/>
    <w:next w:val="Normal"/>
    <w:autoRedefine/>
    <w:uiPriority w:val="39"/>
    <w:unhideWhenUsed/>
    <w:rsid w:val="00054D3A"/>
    <w:pPr>
      <w:tabs>
        <w:tab w:val="clear" w:pos="284"/>
        <w:tab w:val="left" w:pos="1985"/>
      </w:tabs>
      <w:ind w:left="1276"/>
    </w:pPr>
  </w:style>
  <w:style w:type="paragraph" w:styleId="Indholdsfortegnelse5">
    <w:name w:val="toc 5"/>
    <w:basedOn w:val="Indholdsfortegnelse1"/>
    <w:next w:val="Normal"/>
    <w:autoRedefine/>
    <w:uiPriority w:val="39"/>
    <w:unhideWhenUsed/>
    <w:rsid w:val="002109F1"/>
    <w:pPr>
      <w:ind w:left="720"/>
    </w:pPr>
  </w:style>
  <w:style w:type="table" w:styleId="Lysskygge">
    <w:name w:val="Light Shading"/>
    <w:basedOn w:val="Tabel-Normal"/>
    <w:uiPriority w:val="60"/>
    <w:rsid w:val="006216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-GitterGrn">
    <w:name w:val="Tabel - Gitter Grøn"/>
    <w:basedOn w:val="Tabel-Gitter"/>
    <w:uiPriority w:val="99"/>
    <w:rsid w:val="00037585"/>
    <w:tblPr/>
    <w:tblStylePr w:type="firstRow">
      <w:pPr>
        <w:jc w:val="center"/>
      </w:pPr>
      <w:rPr>
        <w:b/>
        <w:color w:val="FFFFFF" w:themeColor="background1"/>
        <w:sz w:val="16"/>
      </w:rPr>
      <w:tblPr/>
      <w:tcPr>
        <w:shd w:val="clear" w:color="auto" w:fill="87BE41"/>
        <w:vAlign w:val="center"/>
      </w:tcPr>
    </w:tblStylePr>
  </w:style>
  <w:style w:type="paragraph" w:customStyle="1" w:styleId="KNSTBrdtekst">
    <w:name w:val="KNST Brødtekst"/>
    <w:basedOn w:val="Normal"/>
    <w:link w:val="KNSTBrdtekstTegn"/>
    <w:rsid w:val="00352F9B"/>
    <w:pPr>
      <w:contextualSpacing/>
    </w:pPr>
    <w:rPr>
      <w:rFonts w:eastAsia="Cambria" w:cs="Times"/>
      <w:szCs w:val="18"/>
    </w:rPr>
  </w:style>
  <w:style w:type="character" w:customStyle="1" w:styleId="KNSTBrdtekstTegn">
    <w:name w:val="KNST Brødtekst Tegn"/>
    <w:basedOn w:val="Standardskrifttypeiafsnit"/>
    <w:link w:val="KNSTBrdtekst"/>
    <w:rsid w:val="00352F9B"/>
    <w:rPr>
      <w:rFonts w:ascii="Arial" w:eastAsia="Cambria" w:hAnsi="Arial" w:cs="Times"/>
      <w:sz w:val="20"/>
      <w:szCs w:val="18"/>
    </w:rPr>
  </w:style>
  <w:style w:type="paragraph" w:customStyle="1" w:styleId="OverskiftBl">
    <w:name w:val="Overskift Blå"/>
    <w:basedOn w:val="Normal"/>
    <w:next w:val="Brdtekst"/>
    <w:link w:val="OverskiftBlTegn"/>
    <w:qFormat/>
    <w:rsid w:val="00034A06"/>
    <w:pPr>
      <w:spacing w:after="120"/>
    </w:pPr>
    <w:rPr>
      <w:b/>
      <w:color w:val="001A50"/>
      <w:sz w:val="32"/>
      <w:szCs w:val="32"/>
    </w:rPr>
  </w:style>
  <w:style w:type="paragraph" w:customStyle="1" w:styleId="OverskriftGrn">
    <w:name w:val="Overskrift Grøn"/>
    <w:basedOn w:val="Normal"/>
    <w:next w:val="Brdtekst"/>
    <w:link w:val="OverskriftGrnTegn"/>
    <w:qFormat/>
    <w:rsid w:val="00034A06"/>
    <w:pPr>
      <w:spacing w:after="120"/>
    </w:pPr>
    <w:rPr>
      <w:b/>
      <w:color w:val="288E6D"/>
      <w:sz w:val="32"/>
      <w:szCs w:val="32"/>
    </w:rPr>
  </w:style>
  <w:style w:type="character" w:customStyle="1" w:styleId="OverskiftBlTegn">
    <w:name w:val="Overskift Blå Tegn"/>
    <w:basedOn w:val="Standardskrifttypeiafsnit"/>
    <w:link w:val="OverskiftBl"/>
    <w:rsid w:val="00034A06"/>
    <w:rPr>
      <w:b/>
      <w:color w:val="001A50"/>
      <w:sz w:val="32"/>
      <w:szCs w:val="32"/>
    </w:rPr>
  </w:style>
  <w:style w:type="paragraph" w:customStyle="1" w:styleId="p1">
    <w:name w:val="p1"/>
    <w:basedOn w:val="Normal"/>
    <w:rsid w:val="00A85DD6"/>
    <w:rPr>
      <w:rFonts w:ascii="Helvetica" w:hAnsi="Helvetica" w:cs="Times New Roman"/>
      <w:sz w:val="10"/>
      <w:szCs w:val="10"/>
      <w:lang w:eastAsia="da-DK"/>
    </w:rPr>
  </w:style>
  <w:style w:type="character" w:customStyle="1" w:styleId="OverskriftGrnTegn">
    <w:name w:val="Overskrift Grøn Tegn"/>
    <w:basedOn w:val="Standardskrifttypeiafsnit"/>
    <w:link w:val="OverskriftGrn"/>
    <w:rsid w:val="00034A06"/>
    <w:rPr>
      <w:b/>
      <w:color w:val="288E6D"/>
      <w:sz w:val="32"/>
      <w:szCs w:val="32"/>
    </w:rPr>
  </w:style>
  <w:style w:type="paragraph" w:customStyle="1" w:styleId="Underpunkt">
    <w:name w:val="Underpunkt"/>
    <w:basedOn w:val="Listeafsnit"/>
    <w:rsid w:val="00C26C34"/>
    <w:pPr>
      <w:numPr>
        <w:numId w:val="0"/>
      </w:numPr>
      <w:ind w:left="992" w:hanging="357"/>
    </w:pPr>
  </w:style>
  <w:style w:type="paragraph" w:styleId="Brdtekst">
    <w:name w:val="Body Text"/>
    <w:basedOn w:val="Normal"/>
    <w:link w:val="BrdtekstTegn"/>
    <w:uiPriority w:val="99"/>
    <w:semiHidden/>
    <w:unhideWhenUsed/>
    <w:rsid w:val="00C26C3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26C34"/>
    <w:rPr>
      <w:rFonts w:ascii="Arial" w:hAnsi="Arial"/>
      <w:sz w:val="20"/>
    </w:rPr>
  </w:style>
  <w:style w:type="character" w:customStyle="1" w:styleId="ListeafsnitTegn">
    <w:name w:val="Listeafsnit Tegn"/>
    <w:aliases w:val="4 Listeafsnit Tegn,Punktliste Tegn"/>
    <w:basedOn w:val="Standardskrifttypeiafsnit"/>
    <w:link w:val="Listeafsnit"/>
    <w:uiPriority w:val="34"/>
    <w:rsid w:val="003E63D6"/>
    <w:rPr>
      <w:sz w:val="20"/>
    </w:rPr>
  </w:style>
  <w:style w:type="paragraph" w:customStyle="1" w:styleId="Projekttitel">
    <w:name w:val="Projekttitel"/>
    <w:basedOn w:val="Normal"/>
    <w:link w:val="ProjekttitelTegn"/>
    <w:rsid w:val="0017717C"/>
    <w:rPr>
      <w:noProof/>
      <w:lang w:eastAsia="da-DK"/>
    </w:rPr>
  </w:style>
  <w:style w:type="paragraph" w:customStyle="1" w:styleId="Projekttitel-Bl">
    <w:name w:val="Projekttitel - Blå"/>
    <w:basedOn w:val="Normal"/>
    <w:qFormat/>
    <w:rsid w:val="00336EE7"/>
    <w:rPr>
      <w:b/>
      <w:color w:val="001A50"/>
      <w:sz w:val="72"/>
    </w:rPr>
  </w:style>
  <w:style w:type="character" w:customStyle="1" w:styleId="ProjekttitelTegn">
    <w:name w:val="Projekttitel Tegn"/>
    <w:basedOn w:val="Standardskrifttypeiafsnit"/>
    <w:link w:val="Projekttitel"/>
    <w:rsid w:val="0017717C"/>
    <w:rPr>
      <w:rFonts w:ascii="Arial" w:hAnsi="Arial"/>
      <w:noProof/>
      <w:sz w:val="20"/>
      <w:lang w:eastAsia="da-DK"/>
    </w:rPr>
  </w:style>
  <w:style w:type="paragraph" w:customStyle="1" w:styleId="Projektbeskrivelse-Grn">
    <w:name w:val="Projektbeskrivelse - Grøn"/>
    <w:basedOn w:val="Normal"/>
    <w:qFormat/>
    <w:rsid w:val="00336EE7"/>
    <w:rPr>
      <w:color w:val="288E6D"/>
      <w:sz w:val="40"/>
    </w:rPr>
  </w:style>
  <w:style w:type="paragraph" w:customStyle="1" w:styleId="Typografi1">
    <w:name w:val="Typografi1"/>
    <w:basedOn w:val="Normal"/>
    <w:qFormat/>
    <w:rsid w:val="00336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7.png"/><Relationship Id="rId7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7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11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1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0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rgi.local\NETLOGON\EBAS\Skabeloner\Erhverv\Rappor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9A32182306BE45965B94D687003469" ma:contentTypeVersion="22" ma:contentTypeDescription="Opret et nyt dokument." ma:contentTypeScope="" ma:versionID="3f7ea2613a10fcf60f8578e7c48d66db">
  <xsd:schema xmlns:xsd="http://www.w3.org/2001/XMLSchema" xmlns:xs="http://www.w3.org/2001/XMLSchema" xmlns:p="http://schemas.microsoft.com/office/2006/metadata/properties" xmlns:ns2="9a0b4e2c-62a1-4f18-96d9-1aa8838ef8ce" xmlns:ns3="49348fa9-70e0-4596-bbad-130ad68ae171" targetNamespace="http://schemas.microsoft.com/office/2006/metadata/properties" ma:root="true" ma:fieldsID="7b14f7a301b7ca66d398fa899a5b2a0e" ns2:_="" ns3:_="">
    <xsd:import namespace="9a0b4e2c-62a1-4f18-96d9-1aa8838ef8ce"/>
    <xsd:import namespace="49348fa9-70e0-4596-bbad-130ad68ae171"/>
    <xsd:element name="properties">
      <xsd:complexType>
        <xsd:sequence>
          <xsd:element name="documentManagement">
            <xsd:complexType>
              <xsd:all>
                <xsd:element ref="ns2:Dokumentkode"/>
                <xsd:element ref="ns2:Dokumentansvarlig"/>
                <xsd:element ref="ns2:Proces_x0020_i_x0020_Structureboard"/>
                <xsd:element ref="ns3:SP_x0020_Version" minOccurs="0"/>
                <xsd:element ref="ns2:Aktiv" minOccurs="0"/>
                <xsd:element ref="ns2:Skabelongrup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b4e2c-62a1-4f18-96d9-1aa8838ef8ce" elementFormDefault="qualified">
    <xsd:import namespace="http://schemas.microsoft.com/office/2006/documentManagement/types"/>
    <xsd:import namespace="http://schemas.microsoft.com/office/infopath/2007/PartnerControls"/>
    <xsd:element name="Dokumentkode" ma:index="2" ma:displayName="Dokumentkode" ma:default="KM" ma:description="Alle kvalitetsstyringsdokumenter skal tildeles en dokumentkode bestående af tre initialer; &#10;&#10;KMP: Procedurebeskrivelse&#10;KMS: Skabelon (eks. tjekliste, tilbud mm.)&#10;KMO: Oversigt (eks. div. lister der  løbende opdateres mm.)&#10;&#10;Dernæst et mellemrum og derefter det næste trecifrede nummer i rækken. Numrene er fortløbende fra og med 111 for hvert sæt af initialer.&#10;&#10;" ma:indexed="true" ma:internalName="Dokumentkode">
      <xsd:simpleType>
        <xsd:restriction base="dms:Text">
          <xsd:maxLength value="7"/>
        </xsd:restriction>
      </xsd:simpleType>
    </xsd:element>
    <xsd:element name="Dokumentansvarlig" ma:index="3" ma:displayName="Dokumentansvarlig" ma:description="Personen der overordnet er ansvarlig for at dette dokument opfylder retningslinjerne for officelle kvalitetsstyringsdokumenter og at det holdes opdateret. Vil typisk være en afdelingsleder." ma:list="UserInfo" ma:SharePointGroup="0" ma:internalName="Dokumentansvarlig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es_x0020_i_x0020_Structureboard" ma:index="10" ma:displayName="Proces i StructureBoard" ma:list="{f9657257-ecbb-49dc-973c-72ccdcff6674}" ma:internalName="Proces_x0020_i_x0020_Structureboard" ma:showField="Title">
      <xsd:simpleType>
        <xsd:restriction base="dms:Lookup"/>
      </xsd:simpleType>
    </xsd:element>
    <xsd:element name="Aktiv" ma:index="12" nillable="true" ma:displayName="Aktiv" ma:default="1" ma:description="Er dokumentet aktivt. Fjern hak hvis &quot;Nej&quot;." ma:internalName="Aktiv">
      <xsd:simpleType>
        <xsd:restriction base="dms:Boolean"/>
      </xsd:simpleType>
    </xsd:element>
    <xsd:element name="Skabelongruppe" ma:index="13" nillable="true" ma:displayName="Skabelongruppe" ma:description="Udfyld ikke. (sæt til &quot;Ingen&quot;)" ma:list="{0e7b8864-29a5-492e-b8df-fb2ad173c292}" ma:internalName="Skabelongrupp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48fa9-70e0-4596-bbad-130ad68ae171" elementFormDefault="qualified">
    <xsd:import namespace="http://schemas.microsoft.com/office/2006/documentManagement/types"/>
    <xsd:import namespace="http://schemas.microsoft.com/office/infopath/2007/PartnerControls"/>
    <xsd:element name="SP_x0020_Version" ma:index="11" nillable="true" ma:displayName="SP Version" ma:default="Udfyld ikke" ma:description="Udfyldes automatisk så udfyld derfor ikke." ma:internalName="SP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kode xmlns="9a0b4e2c-62a1-4f18-96d9-1aa8838ef8ce">ENS 120</Dokumentkode>
    <Proces_x0020_i_x0020_Structureboard xmlns="9a0b4e2c-62a1-4f18-96d9-1aa8838ef8ce">43</Proces_x0020_i_x0020_Structureboard>
    <Dokumentansvarlig xmlns="9a0b4e2c-62a1-4f18-96d9-1aa8838ef8ce">
      <UserInfo>
        <DisplayName>Anne Elgaard</DisplayName>
        <AccountId>351</AccountId>
        <AccountType/>
      </UserInfo>
    </Dokumentansvarlig>
    <SP_x0020_Version xmlns="49348fa9-70e0-4596-bbad-130ad68ae171">8.0</SP_x0020_Version>
    <Skabelongruppe xmlns="9a0b4e2c-62a1-4f18-96d9-1aa8838ef8ce">5</Skabelongruppe>
    <Aktiv xmlns="9a0b4e2c-62a1-4f18-96d9-1aa8838ef8ce">true</Aktiv>
  </documentManagement>
</p:properties>
</file>

<file path=customXml/itemProps1.xml><?xml version="1.0" encoding="utf-8"?>
<ds:datastoreItem xmlns:ds="http://schemas.openxmlformats.org/officeDocument/2006/customXml" ds:itemID="{6FDF944B-0EA5-4F51-9828-AEF4EB930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b4e2c-62a1-4f18-96d9-1aa8838ef8ce"/>
    <ds:schemaRef ds:uri="49348fa9-70e0-4596-bbad-130ad68ae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D375B2-5A23-493E-9761-0EBE49CFD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7D777-6B88-420C-A4D7-E5571E07A5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729D21-77E5-439C-9E1A-5D6E776A8816}">
  <ds:schemaRefs>
    <ds:schemaRef ds:uri="http://schemas.microsoft.com/office/2006/metadata/properties"/>
    <ds:schemaRef ds:uri="http://schemas.microsoft.com/office/infopath/2007/PartnerControls"/>
    <ds:schemaRef ds:uri="9a0b4e2c-62a1-4f18-96d9-1aa8838ef8ce"/>
    <ds:schemaRef ds:uri="49348fa9-70e0-4596-bbad-130ad68ae1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</Template>
  <TotalTime>1466</TotalTime>
  <Pages>10</Pages>
  <Words>425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Brøgger</dc:creator>
  <cp:keywords/>
  <dc:description/>
  <cp:lastModifiedBy>Morten Brøgger</cp:lastModifiedBy>
  <cp:revision>111</cp:revision>
  <cp:lastPrinted>2011-12-12T13:08:00Z</cp:lastPrinted>
  <dcterms:created xsi:type="dcterms:W3CDTF">2021-09-28T06:47:00Z</dcterms:created>
  <dcterms:modified xsi:type="dcterms:W3CDTF">2021-09-29T12:24:00Z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0x010100D59A32182306BE45965B94D687003469</vt:lpwstr>
  </property>
</Properties>
</file>